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FF2D8" w14:textId="354D1694" w:rsidR="007F3AB0" w:rsidRPr="007B1AD1" w:rsidRDefault="002D0904" w:rsidP="002975E2">
      <w:pPr>
        <w:tabs>
          <w:tab w:val="right" w:pos="9356"/>
        </w:tabs>
        <w:spacing w:after="0" w:line="360" w:lineRule="auto"/>
        <w:rPr>
          <w:rFonts w:cstheme="minorHAnsi"/>
          <w:sz w:val="18"/>
          <w:lang w:val="en-GB"/>
        </w:rPr>
      </w:pPr>
      <w:r w:rsidRPr="007B1AD1">
        <w:rPr>
          <w:rFonts w:cstheme="minorHAnsi"/>
          <w:lang w:val="en-GB"/>
        </w:rPr>
        <w:t>PRESS</w:t>
      </w:r>
      <w:r w:rsidR="00845F52" w:rsidRPr="007B1AD1">
        <w:rPr>
          <w:rFonts w:cstheme="minorHAnsi"/>
          <w:lang w:val="en-GB"/>
        </w:rPr>
        <w:t xml:space="preserve"> RELEASE</w:t>
      </w:r>
      <w:r w:rsidRPr="007B1AD1">
        <w:rPr>
          <w:rFonts w:cstheme="minorHAnsi"/>
          <w:lang w:val="en-GB"/>
        </w:rPr>
        <w:tab/>
      </w:r>
      <w:r w:rsidR="007B1AD1" w:rsidRPr="00D66D6E">
        <w:rPr>
          <w:rFonts w:cstheme="minorHAnsi"/>
          <w:sz w:val="18"/>
          <w:lang w:val="en-GB"/>
        </w:rPr>
        <w:t>May</w:t>
      </w:r>
      <w:r w:rsidR="00D66D6E" w:rsidRPr="00D66D6E">
        <w:rPr>
          <w:rFonts w:cstheme="minorHAnsi"/>
          <w:sz w:val="18"/>
          <w:lang w:val="en-GB"/>
        </w:rPr>
        <w:t xml:space="preserve"> 11th</w:t>
      </w:r>
      <w:r w:rsidR="00FC3EBE" w:rsidRPr="00D66D6E">
        <w:rPr>
          <w:rFonts w:cstheme="minorHAnsi"/>
          <w:sz w:val="18"/>
          <w:lang w:val="en-GB"/>
        </w:rPr>
        <w:t>, 2021</w:t>
      </w:r>
    </w:p>
    <w:p w14:paraId="651ED7CD" w14:textId="1D91D77E" w:rsidR="00EB3BB2" w:rsidRDefault="00EB3BB2" w:rsidP="00EB3BB2">
      <w:pPr>
        <w:pStyle w:val="01Flietext"/>
        <w:spacing w:before="340" w:line="240" w:lineRule="auto"/>
        <w:contextualSpacing/>
        <w:rPr>
          <w:rFonts w:asciiTheme="minorHAnsi" w:hAnsiTheme="minorHAnsi" w:cstheme="minorHAnsi"/>
          <w:b/>
          <w:bCs/>
          <w:sz w:val="28"/>
          <w:szCs w:val="28"/>
          <w:lang w:val="en-GB"/>
        </w:rPr>
      </w:pPr>
      <w:r w:rsidRPr="00EB3BB2">
        <w:rPr>
          <w:rFonts w:asciiTheme="minorHAnsi" w:hAnsiTheme="minorHAnsi" w:cstheme="minorHAnsi"/>
          <w:b/>
          <w:bCs/>
          <w:sz w:val="28"/>
          <w:szCs w:val="28"/>
          <w:lang w:val="en-GB"/>
        </w:rPr>
        <w:t>QUANTRON Academy: the new e-mobility training cent</w:t>
      </w:r>
      <w:r w:rsidR="00F47619">
        <w:rPr>
          <w:rFonts w:asciiTheme="minorHAnsi" w:hAnsiTheme="minorHAnsi" w:cstheme="minorHAnsi"/>
          <w:b/>
          <w:bCs/>
          <w:sz w:val="28"/>
          <w:szCs w:val="28"/>
          <w:lang w:val="en-GB"/>
        </w:rPr>
        <w:t>re</w:t>
      </w:r>
      <w:r w:rsidRPr="00EB3BB2">
        <w:rPr>
          <w:rFonts w:asciiTheme="minorHAnsi" w:hAnsiTheme="minorHAnsi" w:cstheme="minorHAnsi"/>
          <w:b/>
          <w:bCs/>
          <w:sz w:val="28"/>
          <w:szCs w:val="28"/>
          <w:lang w:val="en-GB"/>
        </w:rPr>
        <w:t xml:space="preserve"> for truck and</w:t>
      </w:r>
      <w:bookmarkStart w:id="0" w:name="_GoBack"/>
      <w:bookmarkEnd w:id="0"/>
      <w:r w:rsidRPr="00EB3BB2">
        <w:rPr>
          <w:rFonts w:asciiTheme="minorHAnsi" w:hAnsiTheme="minorHAnsi" w:cstheme="minorHAnsi"/>
          <w:b/>
          <w:bCs/>
          <w:sz w:val="28"/>
          <w:szCs w:val="28"/>
          <w:lang w:val="en-GB"/>
        </w:rPr>
        <w:t xml:space="preserve"> bus specialists</w:t>
      </w:r>
    </w:p>
    <w:p w14:paraId="710FDC77" w14:textId="77777777" w:rsidR="00EB3BB2" w:rsidRPr="00EB3BB2" w:rsidRDefault="00EB3BB2" w:rsidP="00EB3BB2">
      <w:pPr>
        <w:pStyle w:val="01Flietext"/>
        <w:spacing w:before="340" w:line="240" w:lineRule="auto"/>
        <w:contextualSpacing/>
        <w:rPr>
          <w:rFonts w:asciiTheme="minorHAnsi" w:hAnsiTheme="minorHAnsi" w:cstheme="minorHAnsi"/>
          <w:sz w:val="22"/>
          <w:szCs w:val="22"/>
          <w:lang w:val="en-GB"/>
        </w:rPr>
      </w:pPr>
    </w:p>
    <w:p w14:paraId="36B95E76" w14:textId="72519C8F" w:rsidR="00F47619" w:rsidRPr="00F47619" w:rsidRDefault="00F47619" w:rsidP="00F47619">
      <w:pPr>
        <w:pStyle w:val="01Flietext"/>
        <w:rPr>
          <w:rFonts w:asciiTheme="minorHAnsi" w:hAnsiTheme="minorHAnsi"/>
          <w:sz w:val="22"/>
          <w:szCs w:val="22"/>
          <w:lang w:val="en-GB"/>
        </w:rPr>
      </w:pPr>
      <w:r w:rsidRPr="00F47619">
        <w:rPr>
          <w:rFonts w:asciiTheme="minorHAnsi" w:hAnsiTheme="minorHAnsi"/>
          <w:sz w:val="22"/>
          <w:szCs w:val="22"/>
          <w:lang w:val="en-GB"/>
        </w:rPr>
        <w:t>The e-mobility specialist Quantron AG is expanding its wide range of services with the QUANTRON Academy, a competence centre for customised training and further education for safe and efficient work on electric vehicles. The wide range of courses offered by the QUANTRON Academy includes driver training as well as various workshops and seminars such as "Diagnosis and measurement on electric commercial vehicles and electric buses". During the events, the content is not only presented in theory, but is also clearly demonstrated on QUANTRON E vehicles. The venue is the main building of Quantron AG in Augsburg.</w:t>
      </w:r>
    </w:p>
    <w:p w14:paraId="634EC486" w14:textId="5F4CE435" w:rsidR="00F47619" w:rsidRDefault="00C67366" w:rsidP="00F47619">
      <w:pPr>
        <w:pStyle w:val="01Flietext"/>
        <w:rPr>
          <w:rFonts w:asciiTheme="minorHAnsi" w:hAnsiTheme="minorHAnsi"/>
          <w:sz w:val="22"/>
          <w:szCs w:val="22"/>
          <w:lang w:val="en-GB"/>
        </w:rPr>
      </w:pPr>
      <w:r w:rsidRPr="00C67366">
        <w:rPr>
          <w:rFonts w:asciiTheme="minorHAnsi" w:hAnsiTheme="minorHAnsi"/>
          <w:sz w:val="22"/>
          <w:szCs w:val="22"/>
          <w:lang w:val="en-GB"/>
        </w:rPr>
        <w:t xml:space="preserve">In April, the first QUANTRON Academy classroom training course on "Safe working on trucks and buses with high-voltage systems" was held with speaker Deniz </w:t>
      </w:r>
      <w:proofErr w:type="spellStart"/>
      <w:r w:rsidRPr="00C67366">
        <w:rPr>
          <w:rFonts w:asciiTheme="minorHAnsi" w:hAnsiTheme="minorHAnsi"/>
          <w:sz w:val="22"/>
          <w:szCs w:val="22"/>
          <w:lang w:val="en-GB"/>
        </w:rPr>
        <w:t>Kartal</w:t>
      </w:r>
      <w:proofErr w:type="spellEnd"/>
      <w:r w:rsidRPr="00C67366">
        <w:rPr>
          <w:rFonts w:asciiTheme="minorHAnsi" w:hAnsiTheme="minorHAnsi"/>
          <w:sz w:val="22"/>
          <w:szCs w:val="22"/>
          <w:lang w:val="en-GB"/>
        </w:rPr>
        <w:t xml:space="preserve"> (</w:t>
      </w:r>
      <w:proofErr w:type="spellStart"/>
      <w:r w:rsidRPr="00C67366">
        <w:rPr>
          <w:rFonts w:asciiTheme="minorHAnsi" w:hAnsiTheme="minorHAnsi"/>
          <w:sz w:val="22"/>
          <w:szCs w:val="22"/>
          <w:lang w:val="en-GB"/>
        </w:rPr>
        <w:t>Evalus</w:t>
      </w:r>
      <w:proofErr w:type="spellEnd"/>
      <w:r w:rsidRPr="00C67366">
        <w:rPr>
          <w:rFonts w:asciiTheme="minorHAnsi" w:hAnsiTheme="minorHAnsi"/>
          <w:sz w:val="22"/>
          <w:szCs w:val="22"/>
          <w:lang w:val="en-GB"/>
        </w:rPr>
        <w:t xml:space="preserve"> GmbH)</w:t>
      </w:r>
      <w:r w:rsidR="00F47619" w:rsidRPr="00F47619">
        <w:rPr>
          <w:rFonts w:asciiTheme="minorHAnsi" w:hAnsiTheme="minorHAnsi"/>
          <w:sz w:val="22"/>
          <w:szCs w:val="22"/>
          <w:lang w:val="en-GB"/>
        </w:rPr>
        <w:t xml:space="preserve">. The content of the three-day course was the certified attainment of training level HV-2. The event took place in strict compliance with the applicable Corona measures, including a Corona test obligation for all participants. In addition, the training area was spatially completely separated from the Quantron staff. </w:t>
      </w:r>
    </w:p>
    <w:p w14:paraId="01253456" w14:textId="77777777" w:rsidR="00F47619" w:rsidRPr="00F47619" w:rsidRDefault="00F47619" w:rsidP="00F47619">
      <w:pPr>
        <w:pStyle w:val="01Flietext"/>
        <w:rPr>
          <w:rFonts w:asciiTheme="minorHAnsi" w:hAnsiTheme="minorHAnsi"/>
          <w:sz w:val="22"/>
          <w:szCs w:val="22"/>
          <w:lang w:val="en-GB"/>
        </w:rPr>
      </w:pPr>
      <w:r w:rsidRPr="00F47619">
        <w:rPr>
          <w:rFonts w:asciiTheme="minorHAnsi" w:hAnsiTheme="minorHAnsi"/>
          <w:sz w:val="22"/>
          <w:szCs w:val="22"/>
          <w:lang w:val="en-GB"/>
        </w:rPr>
        <w:t xml:space="preserve">"As a holistic system provider, Quantron AG not only offers e-vehicles, but also numerous services such as advice on financing and leasing options or charging infrastructures tailored to customers' needs," says Claudio </w:t>
      </w:r>
      <w:proofErr w:type="spellStart"/>
      <w:r w:rsidRPr="00F47619">
        <w:rPr>
          <w:rFonts w:asciiTheme="minorHAnsi" w:hAnsiTheme="minorHAnsi"/>
          <w:sz w:val="22"/>
          <w:szCs w:val="22"/>
          <w:lang w:val="en-GB"/>
        </w:rPr>
        <w:t>Matà</w:t>
      </w:r>
      <w:proofErr w:type="spellEnd"/>
      <w:r w:rsidRPr="00F47619">
        <w:rPr>
          <w:rFonts w:asciiTheme="minorHAnsi" w:hAnsiTheme="minorHAnsi"/>
          <w:sz w:val="22"/>
          <w:szCs w:val="22"/>
          <w:lang w:val="en-GB"/>
        </w:rPr>
        <w:t>, Head of Aftersales EMEA at Quantron AG and organiser of the QUANTRON Academy. "The technical training provided by the QUANTRON Academy complements QUANTRON's comprehensive range of services with an additional, high-quality service offering for our customers."</w:t>
      </w:r>
    </w:p>
    <w:p w14:paraId="0B558844" w14:textId="53512030" w:rsidR="00F47619" w:rsidRPr="00F47619" w:rsidRDefault="00F47619" w:rsidP="00F47619">
      <w:pPr>
        <w:pStyle w:val="01Flietext"/>
        <w:rPr>
          <w:rFonts w:asciiTheme="minorHAnsi" w:hAnsiTheme="minorHAnsi"/>
          <w:sz w:val="22"/>
          <w:szCs w:val="22"/>
          <w:lang w:val="en-GB"/>
        </w:rPr>
      </w:pPr>
      <w:r w:rsidRPr="00F47619">
        <w:rPr>
          <w:rFonts w:asciiTheme="minorHAnsi" w:hAnsiTheme="minorHAnsi"/>
          <w:sz w:val="22"/>
          <w:szCs w:val="22"/>
          <w:lang w:val="en-GB"/>
        </w:rPr>
        <w:t xml:space="preserve">For more information on the training offered by the Quantron Academy, please visit </w:t>
      </w:r>
      <w:hyperlink r:id="rId11" w:history="1">
        <w:r w:rsidRPr="00863F05">
          <w:rPr>
            <w:rStyle w:val="Hyperlink"/>
            <w:rFonts w:asciiTheme="minorHAnsi" w:hAnsiTheme="minorHAnsi"/>
            <w:sz w:val="22"/>
            <w:szCs w:val="22"/>
            <w:lang w:val="en-GB"/>
          </w:rPr>
          <w:t>https://www.quantron.net/quantron-academy/</w:t>
        </w:r>
      </w:hyperlink>
      <w:r w:rsidRPr="00F47619">
        <w:rPr>
          <w:rFonts w:asciiTheme="minorHAnsi" w:hAnsiTheme="minorHAnsi"/>
          <w:sz w:val="22"/>
          <w:szCs w:val="22"/>
          <w:lang w:val="en-GB"/>
        </w:rPr>
        <w:t>.</w:t>
      </w:r>
    </w:p>
    <w:p w14:paraId="6B594724" w14:textId="77777777" w:rsidR="00F47619" w:rsidRPr="00F47619" w:rsidRDefault="00F47619" w:rsidP="00F47619">
      <w:pPr>
        <w:pStyle w:val="01Flietext"/>
        <w:rPr>
          <w:rFonts w:asciiTheme="minorHAnsi" w:hAnsiTheme="minorHAnsi"/>
          <w:sz w:val="22"/>
          <w:szCs w:val="22"/>
          <w:lang w:val="en-GB"/>
        </w:rPr>
      </w:pPr>
    </w:p>
    <w:p w14:paraId="26827804" w14:textId="77777777" w:rsidR="00EB3BB2" w:rsidRPr="00EB3BB2" w:rsidRDefault="00EB3BB2" w:rsidP="00EB3BB2">
      <w:pPr>
        <w:pStyle w:val="01Flietext"/>
        <w:rPr>
          <w:rFonts w:asciiTheme="minorHAnsi" w:hAnsiTheme="minorHAnsi" w:cstheme="minorHAnsi"/>
          <w:sz w:val="22"/>
          <w:szCs w:val="22"/>
          <w:lang w:val="en-GB"/>
        </w:rPr>
      </w:pPr>
    </w:p>
    <w:p w14:paraId="7642F7CF" w14:textId="77777777" w:rsidR="00EB3BB2" w:rsidRPr="00EB3BB2" w:rsidRDefault="00EB3BB2" w:rsidP="00EB3BB2">
      <w:pPr>
        <w:pStyle w:val="01Flietext"/>
        <w:rPr>
          <w:rFonts w:asciiTheme="minorHAnsi" w:hAnsiTheme="minorHAnsi" w:cstheme="minorHAnsi"/>
          <w:sz w:val="22"/>
          <w:szCs w:val="22"/>
          <w:lang w:val="en-GB"/>
        </w:rPr>
      </w:pPr>
    </w:p>
    <w:p w14:paraId="697E1C70" w14:textId="1BC99CDF" w:rsidR="00EB3BB2" w:rsidRPr="002C3500" w:rsidRDefault="000723CD" w:rsidP="00F63FEA">
      <w:pPr>
        <w:spacing w:line="324" w:lineRule="auto"/>
        <w:ind w:right="597"/>
        <w:rPr>
          <w:rFonts w:cstheme="minorHAnsi"/>
          <w:bCs/>
          <w:lang w:val="en-US"/>
        </w:rPr>
      </w:pPr>
      <w:r>
        <w:rPr>
          <w:rFonts w:cstheme="minorHAnsi"/>
          <w:bCs/>
          <w:noProof/>
        </w:rPr>
        <w:lastRenderedPageBreak/>
        <w:drawing>
          <wp:anchor distT="0" distB="0" distL="114300" distR="114300" simplePos="0" relativeHeight="251661312" behindDoc="0" locked="0" layoutInCell="1" allowOverlap="1" wp14:anchorId="33BD35D6" wp14:editId="16E76545">
            <wp:simplePos x="0" y="0"/>
            <wp:positionH relativeFrom="column">
              <wp:posOffset>1866900</wp:posOffset>
            </wp:positionH>
            <wp:positionV relativeFrom="paragraph">
              <wp:posOffset>355600</wp:posOffset>
            </wp:positionV>
            <wp:extent cx="816610" cy="1089025"/>
            <wp:effectExtent l="0" t="0" r="254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610"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C03" w:rsidRPr="002C3500">
        <w:rPr>
          <w:rFonts w:cstheme="minorHAnsi"/>
          <w:bCs/>
          <w:lang w:val="en-US"/>
        </w:rPr>
        <w:t>Picture</w:t>
      </w:r>
      <w:r w:rsidR="00201EF4">
        <w:rPr>
          <w:rFonts w:cstheme="minorHAnsi"/>
          <w:bCs/>
          <w:lang w:val="en-US"/>
        </w:rPr>
        <w:t>s</w:t>
      </w:r>
      <w:r w:rsidR="00421C03" w:rsidRPr="002C3500">
        <w:rPr>
          <w:rFonts w:cstheme="minorHAnsi"/>
          <w:bCs/>
          <w:lang w:val="en-US"/>
        </w:rPr>
        <w:t xml:space="preserve"> (preview): </w:t>
      </w:r>
      <w:r w:rsidR="00EB3BB2">
        <w:rPr>
          <w:rFonts w:cstheme="minorHAnsi"/>
          <w:noProof/>
        </w:rPr>
        <w:drawing>
          <wp:anchor distT="0" distB="0" distL="114300" distR="114300" simplePos="0" relativeHeight="251659264" behindDoc="0" locked="0" layoutInCell="1" allowOverlap="1" wp14:anchorId="23093AB1" wp14:editId="341D5990">
            <wp:simplePos x="0" y="0"/>
            <wp:positionH relativeFrom="column">
              <wp:posOffset>0</wp:posOffset>
            </wp:positionH>
            <wp:positionV relativeFrom="paragraph">
              <wp:posOffset>353060</wp:posOffset>
            </wp:positionV>
            <wp:extent cx="1743075" cy="1089660"/>
            <wp:effectExtent l="0" t="0" r="952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E0149" w14:textId="6619FC7F" w:rsidR="00E13E09" w:rsidRPr="002C3500" w:rsidRDefault="00E13E09" w:rsidP="00F63FEA">
      <w:pPr>
        <w:spacing w:line="324" w:lineRule="auto"/>
        <w:ind w:right="597"/>
        <w:rPr>
          <w:rFonts w:cstheme="minorHAnsi"/>
          <w:bCs/>
          <w:lang w:val="en-US"/>
        </w:rPr>
      </w:pPr>
    </w:p>
    <w:p w14:paraId="312772B0" w14:textId="4AC0BFE7" w:rsidR="00E13E09" w:rsidRPr="002C3500" w:rsidRDefault="00E13E09" w:rsidP="00F63FEA">
      <w:pPr>
        <w:spacing w:line="324" w:lineRule="auto"/>
        <w:ind w:right="597"/>
        <w:rPr>
          <w:rFonts w:cstheme="minorHAnsi"/>
          <w:bCs/>
          <w:lang w:val="en-US"/>
        </w:rPr>
      </w:pPr>
    </w:p>
    <w:p w14:paraId="31327452" w14:textId="22A47FDA" w:rsidR="00EB3BB2" w:rsidRDefault="00EB3BB2" w:rsidP="00F63FEA">
      <w:pPr>
        <w:spacing w:line="324" w:lineRule="auto"/>
        <w:ind w:right="597"/>
        <w:rPr>
          <w:rFonts w:cstheme="minorHAnsi"/>
          <w:bCs/>
          <w:lang w:val="en-US"/>
        </w:rPr>
      </w:pPr>
    </w:p>
    <w:p w14:paraId="455FD588" w14:textId="77777777" w:rsidR="00EB3BB2" w:rsidRPr="00EB3BB2" w:rsidRDefault="00EB3BB2" w:rsidP="00F63FEA">
      <w:pPr>
        <w:spacing w:line="324" w:lineRule="auto"/>
        <w:ind w:right="597"/>
        <w:rPr>
          <w:rFonts w:cstheme="minorHAnsi"/>
          <w:bCs/>
          <w:sz w:val="10"/>
          <w:szCs w:val="10"/>
          <w:lang w:val="en-US"/>
        </w:rPr>
      </w:pPr>
    </w:p>
    <w:p w14:paraId="76E22AD1" w14:textId="1B5B54B0" w:rsidR="00F63FEA" w:rsidRPr="002C3500" w:rsidRDefault="00D422CB" w:rsidP="00F63FEA">
      <w:pPr>
        <w:spacing w:line="324" w:lineRule="auto"/>
        <w:ind w:right="597"/>
        <w:rPr>
          <w:rFonts w:cstheme="minorHAnsi"/>
          <w:b/>
          <w:lang w:val="en-US"/>
        </w:rPr>
      </w:pPr>
      <w:r w:rsidRPr="002C3500">
        <w:rPr>
          <w:rFonts w:cstheme="minorHAnsi"/>
          <w:bCs/>
          <w:lang w:val="en-US"/>
        </w:rPr>
        <w:t>You can find the original photo</w:t>
      </w:r>
      <w:r w:rsidR="00201EF4">
        <w:rPr>
          <w:rFonts w:cstheme="minorHAnsi"/>
          <w:bCs/>
          <w:lang w:val="en-US"/>
        </w:rPr>
        <w:t>s</w:t>
      </w:r>
      <w:r w:rsidRPr="002C3500">
        <w:rPr>
          <w:rFonts w:cstheme="minorHAnsi"/>
          <w:bCs/>
          <w:lang w:val="en-US"/>
        </w:rPr>
        <w:t xml:space="preserve"> in low and high resolution here: </w:t>
      </w:r>
      <w:hyperlink r:id="rId14" w:history="1">
        <w:r w:rsidR="00DC2731" w:rsidRPr="002C3500">
          <w:rPr>
            <w:rStyle w:val="Hyperlink"/>
            <w:lang w:val="en-US"/>
          </w:rPr>
          <w:t>Press releases from Quantron AG</w:t>
        </w:r>
      </w:hyperlink>
      <w:r w:rsidR="009A4F65" w:rsidRPr="002C3500">
        <w:rPr>
          <w:lang w:val="en-US"/>
        </w:rPr>
        <w:t xml:space="preserve"> (https://www.quantron.net/en/q-news/pr-berichte/)</w:t>
      </w:r>
      <w:r w:rsidR="00F63FEA" w:rsidRPr="002C3500">
        <w:rPr>
          <w:lang w:val="en-US"/>
        </w:rPr>
        <w:t xml:space="preserve"> </w:t>
      </w:r>
    </w:p>
    <w:tbl>
      <w:tblPr>
        <w:tblStyle w:val="Tabellenraster"/>
        <w:tblW w:w="113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536"/>
      </w:tblGrid>
      <w:tr w:rsidR="007E5F19" w:rsidRPr="007B1AD1" w14:paraId="00B79A8C" w14:textId="77777777" w:rsidTr="00B22998">
        <w:tc>
          <w:tcPr>
            <w:tcW w:w="6804" w:type="dxa"/>
          </w:tcPr>
          <w:p w14:paraId="17E53A3F" w14:textId="77777777" w:rsidR="007E5F19" w:rsidRPr="002C3500" w:rsidRDefault="007E5F19" w:rsidP="00F63FEA">
            <w:pPr>
              <w:spacing w:line="324" w:lineRule="auto"/>
              <w:ind w:right="597"/>
              <w:rPr>
                <w:rFonts w:cstheme="minorHAnsi"/>
                <w:lang w:val="en-US"/>
              </w:rPr>
            </w:pPr>
          </w:p>
        </w:tc>
        <w:tc>
          <w:tcPr>
            <w:tcW w:w="4536" w:type="dxa"/>
          </w:tcPr>
          <w:p w14:paraId="4FF83936" w14:textId="5E40E4AA" w:rsidR="007E5F19" w:rsidRPr="002C3500" w:rsidRDefault="007E5F19" w:rsidP="002D0904">
            <w:pPr>
              <w:spacing w:line="324" w:lineRule="auto"/>
              <w:rPr>
                <w:rFonts w:cstheme="minorHAnsi"/>
                <w:lang w:val="en-US"/>
              </w:rPr>
            </w:pPr>
          </w:p>
        </w:tc>
      </w:tr>
    </w:tbl>
    <w:p w14:paraId="7879DB1F" w14:textId="23D2B74C" w:rsidR="00FF0798" w:rsidRPr="007B1AD1" w:rsidRDefault="00B45616" w:rsidP="00FF0798">
      <w:pPr>
        <w:spacing w:after="0" w:line="324" w:lineRule="auto"/>
        <w:rPr>
          <w:rFonts w:cstheme="minorHAnsi"/>
          <w:b/>
          <w:lang w:val="en-GB"/>
        </w:rPr>
      </w:pPr>
      <w:r w:rsidRPr="007B1AD1">
        <w:rPr>
          <w:rFonts w:cstheme="minorHAnsi"/>
          <w:b/>
          <w:lang w:val="en-GB"/>
        </w:rPr>
        <w:t>Caption</w:t>
      </w:r>
    </w:p>
    <w:p w14:paraId="7F2FBFCE" w14:textId="5CA2ACF3" w:rsidR="00FF0798" w:rsidRPr="00EB3BB2" w:rsidRDefault="00EB3BB2" w:rsidP="002D0904">
      <w:pPr>
        <w:spacing w:after="0" w:line="324" w:lineRule="auto"/>
        <w:rPr>
          <w:rFonts w:cstheme="minorHAnsi"/>
          <w:lang w:val="en-GB"/>
        </w:rPr>
      </w:pPr>
      <w:r w:rsidRPr="00EB3BB2">
        <w:rPr>
          <w:rFonts w:cstheme="minorHAnsi"/>
          <w:lang w:val="en-GB"/>
        </w:rPr>
        <w:t>The Quantron Academy, QUANTRON's new training cent</w:t>
      </w:r>
      <w:r w:rsidR="00F47619">
        <w:rPr>
          <w:rFonts w:cstheme="minorHAnsi"/>
          <w:lang w:val="en-GB"/>
        </w:rPr>
        <w:t>re</w:t>
      </w:r>
    </w:p>
    <w:p w14:paraId="6EAEAD12" w14:textId="3E32726B" w:rsidR="00D0397A" w:rsidRPr="00EB3BB2" w:rsidRDefault="00D0397A" w:rsidP="007B29FD">
      <w:pPr>
        <w:spacing w:after="0" w:line="324" w:lineRule="auto"/>
        <w:jc w:val="both"/>
        <w:rPr>
          <w:rFonts w:cstheme="minorHAnsi"/>
          <w:i/>
          <w:sz w:val="20"/>
          <w:lang w:val="en-GB"/>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Quantron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intralogistics vehicles.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EDFB7AA" w14:textId="77777777" w:rsidR="002C3500" w:rsidRPr="00D93C73" w:rsidRDefault="002C3500" w:rsidP="002C3500">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5"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6" w:history="1">
        <w:r w:rsidRPr="00D93C73">
          <w:rPr>
            <w:rStyle w:val="Hyperlink"/>
            <w:rFonts w:cstheme="minorHAnsi"/>
            <w:i/>
            <w:iCs/>
            <w:sz w:val="20"/>
            <w:szCs w:val="20"/>
            <w:lang w:val="en-US"/>
          </w:rPr>
          <w:t>YouTube</w:t>
        </w:r>
      </w:hyperlink>
      <w:r w:rsidRPr="00D93C73">
        <w:rPr>
          <w:rFonts w:cstheme="minorHAnsi"/>
          <w:i/>
          <w:iCs/>
          <w:sz w:val="20"/>
          <w:szCs w:val="20"/>
          <w:lang w:val="en-US"/>
        </w:rPr>
        <w:t>.</w:t>
      </w:r>
    </w:p>
    <w:p w14:paraId="71E79901" w14:textId="0D840DA4" w:rsidR="00EB3BB2" w:rsidRDefault="00EB3BB2" w:rsidP="002D0904">
      <w:pPr>
        <w:spacing w:after="0" w:line="324" w:lineRule="auto"/>
        <w:rPr>
          <w:rFonts w:cstheme="minorHAnsi"/>
          <w:lang w:val="en-US"/>
        </w:rPr>
      </w:pPr>
    </w:p>
    <w:p w14:paraId="1E0C054D" w14:textId="77777777" w:rsidR="00F47619" w:rsidRPr="002C3500" w:rsidRDefault="00F47619" w:rsidP="002D0904">
      <w:pPr>
        <w:spacing w:after="0" w:line="324" w:lineRule="auto"/>
        <w:rPr>
          <w:rFonts w:cstheme="minorHAnsi"/>
          <w:lang w:val="en-US"/>
        </w:rPr>
      </w:pPr>
    </w:p>
    <w:p w14:paraId="346B2555" w14:textId="77777777" w:rsidR="00F47619" w:rsidRDefault="00113A8A" w:rsidP="00F47619">
      <w:pPr>
        <w:spacing w:after="0" w:line="324" w:lineRule="auto"/>
        <w:rPr>
          <w:b/>
          <w:bCs/>
        </w:rPr>
      </w:pPr>
      <w:proofErr w:type="spellStart"/>
      <w:r>
        <w:rPr>
          <w:b/>
          <w:bCs/>
        </w:rPr>
        <w:t>Your</w:t>
      </w:r>
      <w:proofErr w:type="spellEnd"/>
      <w:r w:rsidR="00F47619">
        <w:rPr>
          <w:b/>
          <w:bCs/>
        </w:rPr>
        <w:t xml:space="preserve"> </w:t>
      </w:r>
      <w:proofErr w:type="spellStart"/>
      <w:r>
        <w:rPr>
          <w:b/>
          <w:bCs/>
        </w:rPr>
        <w:t>contact</w:t>
      </w:r>
      <w:proofErr w:type="spellEnd"/>
      <w:r w:rsidR="00BE057C">
        <w:rPr>
          <w:b/>
          <w:bCs/>
        </w:rPr>
        <w:t xml:space="preserve">: </w:t>
      </w:r>
    </w:p>
    <w:p w14:paraId="5F0DCE40" w14:textId="34F4F516" w:rsidR="15BB30EC" w:rsidRPr="00F47619" w:rsidRDefault="61DDB593" w:rsidP="00F47619">
      <w:pPr>
        <w:spacing w:after="0" w:line="324" w:lineRule="auto"/>
        <w:rPr>
          <w:b/>
          <w:bCs/>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sectPr w:rsidR="15BB30EC" w:rsidRPr="00F47619" w:rsidSect="007E6A5C">
      <w:headerReference w:type="default" r:id="rId17"/>
      <w:footerReference w:type="default" r:id="rId18"/>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DFDD" w14:textId="77777777" w:rsidR="00240BEA" w:rsidRDefault="00240BEA" w:rsidP="00AE78E4">
      <w:pPr>
        <w:spacing w:after="0" w:line="240" w:lineRule="auto"/>
      </w:pPr>
      <w:r>
        <w:separator/>
      </w:r>
    </w:p>
  </w:endnote>
  <w:endnote w:type="continuationSeparator" w:id="0">
    <w:p w14:paraId="3EDBDBEE" w14:textId="77777777" w:rsidR="00240BEA" w:rsidRDefault="00240BEA"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D66D6E">
                            <w:fldChar w:fldCharType="begin"/>
                          </w:r>
                          <w:r w:rsidR="00D66D6E">
                            <w:instrText>NUMPAGES  \* Arabic  \* MERGEFORMAT</w:instrText>
                          </w:r>
                          <w:r w:rsidR="00D66D6E">
                            <w:fldChar w:fldCharType="separate"/>
                          </w:r>
                          <w:r w:rsidR="00851F4C" w:rsidRPr="00851F4C">
                            <w:rPr>
                              <w:bCs/>
                              <w:noProof/>
                              <w:color w:val="0971B7"/>
                              <w:sz w:val="16"/>
                              <w:szCs w:val="16"/>
                            </w:rPr>
                            <w:t>2</w:t>
                          </w:r>
                          <w:r w:rsidR="00D66D6E">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322F" w14:textId="77777777" w:rsidR="00240BEA" w:rsidRDefault="00240BEA" w:rsidP="00AE78E4">
      <w:pPr>
        <w:spacing w:after="0" w:line="240" w:lineRule="auto"/>
      </w:pPr>
      <w:r>
        <w:separator/>
      </w:r>
    </w:p>
  </w:footnote>
  <w:footnote w:type="continuationSeparator" w:id="0">
    <w:p w14:paraId="56FFC6E8" w14:textId="77777777" w:rsidR="00240BEA" w:rsidRDefault="00240BEA"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723CD"/>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3857"/>
    <w:rsid w:val="00201EF4"/>
    <w:rsid w:val="00217303"/>
    <w:rsid w:val="00221D25"/>
    <w:rsid w:val="0022565D"/>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40B0"/>
    <w:rsid w:val="005248CC"/>
    <w:rsid w:val="0052668B"/>
    <w:rsid w:val="00534909"/>
    <w:rsid w:val="0053512B"/>
    <w:rsid w:val="00536239"/>
    <w:rsid w:val="005546AA"/>
    <w:rsid w:val="0056386B"/>
    <w:rsid w:val="00592440"/>
    <w:rsid w:val="005D2334"/>
    <w:rsid w:val="005D2817"/>
    <w:rsid w:val="005E2014"/>
    <w:rsid w:val="00634747"/>
    <w:rsid w:val="00671A6F"/>
    <w:rsid w:val="0069705D"/>
    <w:rsid w:val="006B0E2C"/>
    <w:rsid w:val="006B4D38"/>
    <w:rsid w:val="006B7543"/>
    <w:rsid w:val="006C35E2"/>
    <w:rsid w:val="00710CE9"/>
    <w:rsid w:val="007145E8"/>
    <w:rsid w:val="0071627E"/>
    <w:rsid w:val="0074160C"/>
    <w:rsid w:val="00745FEA"/>
    <w:rsid w:val="00754015"/>
    <w:rsid w:val="007628A4"/>
    <w:rsid w:val="00765BB9"/>
    <w:rsid w:val="00775363"/>
    <w:rsid w:val="00776508"/>
    <w:rsid w:val="00776D92"/>
    <w:rsid w:val="00790717"/>
    <w:rsid w:val="007B1AD1"/>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22998"/>
    <w:rsid w:val="00B31303"/>
    <w:rsid w:val="00B45616"/>
    <w:rsid w:val="00B60081"/>
    <w:rsid w:val="00BA1CC6"/>
    <w:rsid w:val="00BA2B45"/>
    <w:rsid w:val="00BA6AD9"/>
    <w:rsid w:val="00BC49AA"/>
    <w:rsid w:val="00BC7E72"/>
    <w:rsid w:val="00BE057C"/>
    <w:rsid w:val="00BE073B"/>
    <w:rsid w:val="00BF688A"/>
    <w:rsid w:val="00C36740"/>
    <w:rsid w:val="00C44DDA"/>
    <w:rsid w:val="00C45A18"/>
    <w:rsid w:val="00C63E4C"/>
    <w:rsid w:val="00C67366"/>
    <w:rsid w:val="00C867F7"/>
    <w:rsid w:val="00C96478"/>
    <w:rsid w:val="00CC27C4"/>
    <w:rsid w:val="00CE5E8B"/>
    <w:rsid w:val="00CF1072"/>
    <w:rsid w:val="00CF77BF"/>
    <w:rsid w:val="00D0397A"/>
    <w:rsid w:val="00D040AD"/>
    <w:rsid w:val="00D17C43"/>
    <w:rsid w:val="00D21EE9"/>
    <w:rsid w:val="00D34006"/>
    <w:rsid w:val="00D422CB"/>
    <w:rsid w:val="00D4442A"/>
    <w:rsid w:val="00D46BFB"/>
    <w:rsid w:val="00D4707E"/>
    <w:rsid w:val="00D51998"/>
    <w:rsid w:val="00D66D6E"/>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67EC"/>
    <w:rsid w:val="00EA7185"/>
    <w:rsid w:val="00EB04DB"/>
    <w:rsid w:val="00EB1D0B"/>
    <w:rsid w:val="00EB3BB2"/>
    <w:rsid w:val="00EC5ECD"/>
    <w:rsid w:val="00F04C31"/>
    <w:rsid w:val="00F05EA4"/>
    <w:rsid w:val="00F1572B"/>
    <w:rsid w:val="00F3742E"/>
    <w:rsid w:val="00F47619"/>
    <w:rsid w:val="00F63FEA"/>
    <w:rsid w:val="00F72981"/>
    <w:rsid w:val="00FA306B"/>
    <w:rsid w:val="00FB59B4"/>
    <w:rsid w:val="00FC3EBE"/>
    <w:rsid w:val="00FC6EB1"/>
    <w:rsid w:val="00FD41AC"/>
    <w:rsid w:val="00FF0798"/>
    <w:rsid w:val="15BB30EC"/>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DQ-CKkS8XMHcJ9Ze-6UV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quantron-academy/" TargetMode="External"/><Relationship Id="rId5" Type="http://schemas.openxmlformats.org/officeDocument/2006/relationships/numbering" Target="numbering.xml"/><Relationship Id="rId15" Type="http://schemas.openxmlformats.org/officeDocument/2006/relationships/hyperlink" Target="https://www.linkedin.com/company/quantron-a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en/q-news/pr-berich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2" ma:contentTypeDescription="Ein neues Dokument erstellen." ma:contentTypeScope="" ma:versionID="a463225aa2ca85970511d79f11154426">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345d2989c1c0e5624c888dfac40e40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A179-7ECB-4E60-AD87-0B4C4FDE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44C5924E-98D3-4510-97CB-C1ACFBD5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3212</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cp:lastModifiedBy>
  <cp:revision>9</cp:revision>
  <dcterms:created xsi:type="dcterms:W3CDTF">2021-04-30T12:28:00Z</dcterms:created>
  <dcterms:modified xsi:type="dcterms:W3CDTF">2021-05-11T06:27:00Z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