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01CCF3F" w:rsidR="007F3AB0" w:rsidRPr="00E478C0" w:rsidRDefault="002D0904" w:rsidP="002975E2">
      <w:pPr>
        <w:tabs>
          <w:tab w:val="right" w:pos="9356"/>
        </w:tabs>
        <w:spacing w:after="0" w:line="360" w:lineRule="auto"/>
        <w:rPr>
          <w:rFonts w:cstheme="minorHAnsi"/>
          <w:sz w:val="20"/>
          <w:lang w:val="en-GB"/>
        </w:rPr>
      </w:pPr>
      <w:r w:rsidRPr="00E478C0">
        <w:rPr>
          <w:rFonts w:cstheme="minorHAnsi"/>
          <w:lang w:val="en-GB"/>
        </w:rPr>
        <w:t>PRESS</w:t>
      </w:r>
      <w:r w:rsidR="00845F52" w:rsidRPr="00E478C0">
        <w:rPr>
          <w:rFonts w:cstheme="minorHAnsi"/>
          <w:lang w:val="en-GB"/>
        </w:rPr>
        <w:t xml:space="preserve"> RELEASE</w:t>
      </w:r>
      <w:r w:rsidRPr="00E478C0">
        <w:rPr>
          <w:rFonts w:cstheme="minorHAnsi"/>
          <w:lang w:val="en-GB"/>
        </w:rPr>
        <w:tab/>
      </w:r>
      <w:r w:rsidR="00E478C0" w:rsidRPr="00E478C0">
        <w:rPr>
          <w:rFonts w:cstheme="minorHAnsi"/>
          <w:sz w:val="18"/>
          <w:lang w:val="en-GB"/>
        </w:rPr>
        <w:t>June 7th,</w:t>
      </w:r>
      <w:r w:rsidR="00FC3EBE" w:rsidRPr="00E478C0">
        <w:rPr>
          <w:rFonts w:cstheme="minorHAnsi"/>
          <w:sz w:val="18"/>
          <w:lang w:val="en-GB"/>
        </w:rPr>
        <w:t xml:space="preserve"> 2021</w:t>
      </w:r>
    </w:p>
    <w:p w14:paraId="4AAC4A18" w14:textId="0BFD7265" w:rsidR="009E2573" w:rsidRPr="00E478C0" w:rsidRDefault="00E478C0" w:rsidP="00671A6F">
      <w:pPr>
        <w:spacing w:before="340" w:after="340" w:line="240" w:lineRule="auto"/>
        <w:rPr>
          <w:rFonts w:cstheme="minorHAnsi"/>
          <w:b/>
          <w:bCs/>
          <w:sz w:val="28"/>
          <w:szCs w:val="28"/>
          <w:lang w:val="en-GB"/>
        </w:rPr>
      </w:pPr>
      <w:r w:rsidRPr="00E478C0">
        <w:rPr>
          <w:rFonts w:cstheme="minorHAnsi"/>
          <w:b/>
          <w:bCs/>
          <w:sz w:val="28"/>
          <w:szCs w:val="28"/>
          <w:lang w:val="en-GB"/>
        </w:rPr>
        <w:t>Quantron AG cooperates with H2Go GmbH</w:t>
      </w:r>
    </w:p>
    <w:p w14:paraId="55BA363E" w14:textId="7C7F87FF" w:rsidR="00E478C0" w:rsidRPr="00E478C0" w:rsidRDefault="00E478C0" w:rsidP="00E478C0">
      <w:pPr>
        <w:pStyle w:val="01Flietext"/>
        <w:rPr>
          <w:rFonts w:asciiTheme="minorHAnsi" w:hAnsiTheme="minorHAnsi"/>
          <w:sz w:val="22"/>
          <w:szCs w:val="22"/>
          <w:lang w:val="en-GB"/>
        </w:rPr>
      </w:pPr>
      <w:r w:rsidRPr="00E478C0">
        <w:rPr>
          <w:rFonts w:asciiTheme="minorHAnsi" w:hAnsiTheme="minorHAnsi"/>
          <w:sz w:val="22"/>
          <w:szCs w:val="22"/>
          <w:lang w:val="en-GB"/>
        </w:rPr>
        <w:t>Hydrogen as an alternative fuel is the future of electromobility. However, it is also a topic that brings with it a number of challenges that companies must master. That's why e-mobility company Quantron AG and hydrogen specialist H2Go GmbH have now joined forces to pool the knowledge and expertise of both companies to offer a total package of hydrogen</w:t>
      </w:r>
      <w:r w:rsidR="00CB52B9">
        <w:rPr>
          <w:rFonts w:asciiTheme="minorHAnsi" w:hAnsiTheme="minorHAnsi"/>
          <w:sz w:val="22"/>
          <w:szCs w:val="22"/>
          <w:lang w:val="en-GB"/>
        </w:rPr>
        <w:t>-electric</w:t>
      </w:r>
      <w:r w:rsidRPr="00E478C0">
        <w:rPr>
          <w:rFonts w:asciiTheme="minorHAnsi" w:hAnsiTheme="minorHAnsi"/>
          <w:sz w:val="22"/>
          <w:szCs w:val="22"/>
          <w:lang w:val="en-GB"/>
        </w:rPr>
        <w:t xml:space="preserve"> mobility solutions. </w:t>
      </w:r>
    </w:p>
    <w:p w14:paraId="63BFDD7C" w14:textId="77777777" w:rsidR="00E478C0" w:rsidRPr="00E478C0" w:rsidRDefault="00E478C0" w:rsidP="00E478C0">
      <w:pPr>
        <w:pStyle w:val="01Flietext"/>
        <w:rPr>
          <w:rFonts w:asciiTheme="minorHAnsi" w:hAnsiTheme="minorHAnsi"/>
          <w:sz w:val="22"/>
          <w:szCs w:val="22"/>
          <w:lang w:val="en-GB"/>
        </w:rPr>
      </w:pPr>
      <w:r w:rsidRPr="00E478C0">
        <w:rPr>
          <w:rFonts w:asciiTheme="minorHAnsi" w:hAnsiTheme="minorHAnsi"/>
          <w:sz w:val="22"/>
          <w:szCs w:val="22"/>
          <w:lang w:val="en-GB"/>
        </w:rPr>
        <w:t>The joint service and product offering consists of commercial vehicles powered by hydrogen, customized hydrogen logistics and infrastructure, customer consulting and the creation of customer-specific holistic hydrogen roadmaps. H2Go and QUANTRON compile customized solutions from the joint modular system of products and services.</w:t>
      </w:r>
    </w:p>
    <w:p w14:paraId="52A0CCA4" w14:textId="77777777" w:rsidR="00E478C0" w:rsidRPr="00E478C0" w:rsidRDefault="00E478C0" w:rsidP="00E478C0">
      <w:pPr>
        <w:pStyle w:val="01Flietext"/>
        <w:rPr>
          <w:rFonts w:asciiTheme="minorHAnsi" w:hAnsiTheme="minorHAnsi"/>
          <w:sz w:val="22"/>
          <w:szCs w:val="22"/>
          <w:lang w:val="en-GB"/>
        </w:rPr>
      </w:pPr>
      <w:r w:rsidRPr="00E478C0">
        <w:rPr>
          <w:rFonts w:asciiTheme="minorHAnsi" w:hAnsiTheme="minorHAnsi"/>
          <w:sz w:val="22"/>
          <w:szCs w:val="22"/>
          <w:lang w:val="en-GB"/>
        </w:rPr>
        <w:t xml:space="preserve">Andreas Haller, CEO of Quantron AG: "We at QUANTRON not only offer our customers zero-emission vehicles, but also support them in all essential areas related to electromobility and hydrogen. The cooperation with H2Go is an important part of our fully comprehensive service offering." </w:t>
      </w:r>
    </w:p>
    <w:p w14:paraId="7DD78D4F" w14:textId="77777777" w:rsidR="00E478C0" w:rsidRPr="00E478C0" w:rsidRDefault="00E478C0" w:rsidP="00E478C0">
      <w:pPr>
        <w:pStyle w:val="01Flietext"/>
        <w:rPr>
          <w:rFonts w:asciiTheme="minorHAnsi" w:hAnsiTheme="minorHAnsi"/>
          <w:sz w:val="22"/>
          <w:szCs w:val="22"/>
          <w:lang w:val="en-GB"/>
        </w:rPr>
      </w:pPr>
      <w:r w:rsidRPr="00E478C0">
        <w:rPr>
          <w:rFonts w:asciiTheme="minorHAnsi" w:hAnsiTheme="minorHAnsi"/>
          <w:sz w:val="22"/>
          <w:szCs w:val="22"/>
          <w:lang w:val="en-GB"/>
        </w:rPr>
        <w:t xml:space="preserve">Axel </w:t>
      </w:r>
      <w:proofErr w:type="spellStart"/>
      <w:r w:rsidRPr="00E478C0">
        <w:rPr>
          <w:rFonts w:asciiTheme="minorHAnsi" w:hAnsiTheme="minorHAnsi"/>
          <w:sz w:val="22"/>
          <w:szCs w:val="22"/>
          <w:lang w:val="en-GB"/>
        </w:rPr>
        <w:t>Poblotzki</w:t>
      </w:r>
      <w:proofErr w:type="spellEnd"/>
      <w:r w:rsidRPr="00E478C0">
        <w:rPr>
          <w:rFonts w:asciiTheme="minorHAnsi" w:hAnsiTheme="minorHAnsi"/>
          <w:sz w:val="22"/>
          <w:szCs w:val="22"/>
          <w:lang w:val="en-GB"/>
        </w:rPr>
        <w:t xml:space="preserve">, Managing Director of H2Go GmbH: "Through the cooperation concluded with QUANTRON, we can now offer our joint customers and partners a complete hydrogen ecosystem for commercial vehicles by linking vehicle and infrastructure expertise in a meaningful way. In doing so, we have the positive effects on regional and </w:t>
      </w:r>
      <w:proofErr w:type="spellStart"/>
      <w:r w:rsidRPr="00E478C0">
        <w:rPr>
          <w:rFonts w:asciiTheme="minorHAnsi" w:hAnsiTheme="minorHAnsi"/>
          <w:sz w:val="22"/>
          <w:szCs w:val="22"/>
          <w:lang w:val="en-GB"/>
        </w:rPr>
        <w:t>supraregional</w:t>
      </w:r>
      <w:proofErr w:type="spellEnd"/>
      <w:r w:rsidRPr="00E478C0">
        <w:rPr>
          <w:rFonts w:asciiTheme="minorHAnsi" w:hAnsiTheme="minorHAnsi"/>
          <w:sz w:val="22"/>
          <w:szCs w:val="22"/>
          <w:lang w:val="en-GB"/>
        </w:rPr>
        <w:t xml:space="preserve"> value chains in mind."   </w:t>
      </w:r>
    </w:p>
    <w:p w14:paraId="079191C6" w14:textId="77777777" w:rsidR="001E7F71" w:rsidRDefault="001E7F71" w:rsidP="00F63FEA">
      <w:pPr>
        <w:spacing w:line="324" w:lineRule="auto"/>
        <w:ind w:right="597"/>
        <w:rPr>
          <w:rFonts w:cstheme="minorHAnsi"/>
          <w:b/>
          <w:lang w:val="en-US"/>
        </w:rPr>
      </w:pPr>
    </w:p>
    <w:p w14:paraId="21AE9850" w14:textId="20E18AAB" w:rsidR="008B7AF6" w:rsidRPr="002C3500" w:rsidRDefault="00421C03" w:rsidP="00F63FEA">
      <w:pPr>
        <w:spacing w:line="324" w:lineRule="auto"/>
        <w:ind w:right="597"/>
        <w:rPr>
          <w:rFonts w:cstheme="minorHAnsi"/>
          <w:bCs/>
          <w:lang w:val="en-US"/>
        </w:rPr>
      </w:pPr>
      <w:r w:rsidRPr="003B338E">
        <w:rPr>
          <w:rFonts w:cstheme="minorHAnsi"/>
          <w:b/>
          <w:lang w:val="en-US"/>
        </w:rPr>
        <w:t>Picture</w:t>
      </w:r>
      <w:r w:rsidRPr="002C3500">
        <w:rPr>
          <w:rFonts w:cstheme="minorHAnsi"/>
          <w:bCs/>
          <w:lang w:val="en-US"/>
        </w:rPr>
        <w:t xml:space="preserve"> (preview): </w:t>
      </w:r>
    </w:p>
    <w:p w14:paraId="40AE0149" w14:textId="6F4AA6A0" w:rsidR="00E13E09" w:rsidRPr="00511818" w:rsidRDefault="00511818" w:rsidP="00F63FEA">
      <w:pPr>
        <w:spacing w:line="324" w:lineRule="auto"/>
        <w:ind w:right="597"/>
        <w:rPr>
          <w:rFonts w:cstheme="minorHAnsi"/>
          <w:bCs/>
          <w:lang w:val="en-US"/>
        </w:rPr>
      </w:pPr>
      <w:r>
        <w:rPr>
          <w:noProof/>
          <w:lang w:val="en-US"/>
        </w:rPr>
        <w:drawing>
          <wp:inline distT="0" distB="0" distL="0" distR="0" wp14:anchorId="2AF135AB" wp14:editId="24A8A9D5">
            <wp:extent cx="1638300" cy="109395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453" cy="1104071"/>
                    </a:xfrm>
                    <a:prstGeom prst="rect">
                      <a:avLst/>
                    </a:prstGeom>
                    <a:noFill/>
                    <a:ln>
                      <a:noFill/>
                    </a:ln>
                  </pic:spPr>
                </pic:pic>
              </a:graphicData>
            </a:graphic>
          </wp:inline>
        </w:drawing>
      </w:r>
    </w:p>
    <w:p w14:paraId="312772B0" w14:textId="77777777" w:rsidR="00E13E09" w:rsidRPr="002C3500" w:rsidRDefault="00E13E09" w:rsidP="00F63FEA">
      <w:pPr>
        <w:spacing w:line="324" w:lineRule="auto"/>
        <w:ind w:right="597"/>
        <w:rPr>
          <w:rFonts w:cstheme="minorHAnsi"/>
          <w:bCs/>
          <w:lang w:val="en-US"/>
        </w:rPr>
      </w:pP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511818" w:rsidRDefault="00B45616" w:rsidP="00FF0798">
      <w:pPr>
        <w:spacing w:after="0" w:line="324" w:lineRule="auto"/>
        <w:rPr>
          <w:rFonts w:cstheme="minorHAnsi"/>
          <w:b/>
          <w:lang w:val="en-GB"/>
        </w:rPr>
      </w:pPr>
      <w:r w:rsidRPr="00511818">
        <w:rPr>
          <w:rFonts w:cstheme="minorHAnsi"/>
          <w:b/>
          <w:lang w:val="en-GB"/>
        </w:rPr>
        <w:t>Caption</w:t>
      </w:r>
    </w:p>
    <w:p w14:paraId="6487728A" w14:textId="77777777" w:rsidR="00E478C0" w:rsidRPr="00E478C0" w:rsidRDefault="00E478C0" w:rsidP="00E478C0">
      <w:pPr>
        <w:spacing w:after="0" w:line="324" w:lineRule="auto"/>
        <w:rPr>
          <w:rFonts w:cstheme="minorHAnsi"/>
          <w:lang w:val="en-GB"/>
        </w:rPr>
      </w:pPr>
      <w:r w:rsidRPr="00E478C0">
        <w:rPr>
          <w:rFonts w:cstheme="minorHAnsi"/>
          <w:lang w:val="en-GB"/>
        </w:rPr>
        <w:t xml:space="preserve">Signing of the cooperation agreement between Quantron AG and H2Go GmbH </w:t>
      </w:r>
    </w:p>
    <w:p w14:paraId="7F2FBFCE" w14:textId="10FE5E37" w:rsidR="00FF0798" w:rsidRDefault="00E478C0" w:rsidP="00E478C0">
      <w:pPr>
        <w:spacing w:after="0" w:line="324" w:lineRule="auto"/>
        <w:rPr>
          <w:rFonts w:cstheme="minorHAnsi"/>
          <w:lang w:val="en-GB"/>
        </w:rPr>
      </w:pPr>
      <w:r w:rsidRPr="00E478C0">
        <w:rPr>
          <w:rFonts w:cstheme="minorHAnsi"/>
          <w:lang w:val="en-GB"/>
        </w:rPr>
        <w:t>From left: Holger Grass, Head of Business Development Quantron AG / Andreas Haller</w:t>
      </w:r>
      <w:r>
        <w:rPr>
          <w:rFonts w:cstheme="minorHAnsi"/>
          <w:lang w:val="en-GB"/>
        </w:rPr>
        <w:t>, CEO of</w:t>
      </w:r>
      <w:r w:rsidRPr="00E478C0">
        <w:rPr>
          <w:rFonts w:cstheme="minorHAnsi"/>
          <w:lang w:val="en-GB"/>
        </w:rPr>
        <w:t xml:space="preserve"> Quantron AG / Axel </w:t>
      </w:r>
      <w:proofErr w:type="spellStart"/>
      <w:r w:rsidRPr="00E478C0">
        <w:rPr>
          <w:rFonts w:cstheme="minorHAnsi"/>
          <w:lang w:val="en-GB"/>
        </w:rPr>
        <w:t>Poblotzki</w:t>
      </w:r>
      <w:proofErr w:type="spellEnd"/>
      <w:r w:rsidRPr="00E478C0">
        <w:rPr>
          <w:rFonts w:cstheme="minorHAnsi"/>
          <w:lang w:val="en-GB"/>
        </w:rPr>
        <w:t>, Managing Director H2Go</w:t>
      </w:r>
      <w:r w:rsidR="00D41C33">
        <w:rPr>
          <w:rFonts w:cstheme="minorHAnsi"/>
          <w:lang w:val="en-GB"/>
        </w:rPr>
        <w:t xml:space="preserve"> </w:t>
      </w:r>
      <w:r w:rsidR="00D41C33" w:rsidRPr="00E478C0">
        <w:rPr>
          <w:rFonts w:cstheme="minorHAnsi"/>
          <w:lang w:val="en-GB"/>
        </w:rPr>
        <w:t xml:space="preserve">/ Marco Schmidt, Managing Director and </w:t>
      </w:r>
      <w:r w:rsidR="00D41C33">
        <w:rPr>
          <w:rFonts w:cstheme="minorHAnsi"/>
          <w:lang w:val="en-GB"/>
        </w:rPr>
        <w:t>Shareholder</w:t>
      </w:r>
      <w:r w:rsidR="00D41C33" w:rsidRPr="00E478C0">
        <w:rPr>
          <w:rFonts w:cstheme="minorHAnsi"/>
          <w:lang w:val="en-GB"/>
        </w:rPr>
        <w:t xml:space="preserve"> H2Go</w:t>
      </w:r>
    </w:p>
    <w:p w14:paraId="321412F7" w14:textId="336DFE7D" w:rsidR="00E478C0" w:rsidRDefault="00E478C0" w:rsidP="00E478C0">
      <w:pPr>
        <w:spacing w:after="0" w:line="324" w:lineRule="auto"/>
        <w:rPr>
          <w:rFonts w:cstheme="minorHAnsi"/>
          <w:lang w:val="en-GB"/>
        </w:rPr>
      </w:pPr>
    </w:p>
    <w:p w14:paraId="1DC8D22F" w14:textId="3C342792" w:rsidR="00E478C0" w:rsidRDefault="00E478C0" w:rsidP="00E478C0">
      <w:pPr>
        <w:spacing w:after="0" w:line="324" w:lineRule="auto"/>
        <w:rPr>
          <w:rFonts w:cstheme="minorHAnsi"/>
          <w:lang w:val="en-GB"/>
        </w:rPr>
      </w:pPr>
    </w:p>
    <w:p w14:paraId="31C137CA" w14:textId="6708C56C" w:rsidR="00E478C0" w:rsidRPr="00511818" w:rsidRDefault="00E478C0" w:rsidP="00E478C0">
      <w:pPr>
        <w:tabs>
          <w:tab w:val="left" w:pos="2595"/>
        </w:tabs>
        <w:spacing w:after="360" w:line="324" w:lineRule="auto"/>
        <w:jc w:val="both"/>
        <w:rPr>
          <w:rFonts w:cstheme="minorHAnsi"/>
          <w:b/>
          <w:bCs/>
          <w:i/>
          <w:sz w:val="20"/>
          <w:lang w:val="en-GB"/>
        </w:rPr>
      </w:pPr>
      <w:r w:rsidRPr="00511818">
        <w:rPr>
          <w:rFonts w:cstheme="minorHAnsi"/>
          <w:b/>
          <w:bCs/>
          <w:i/>
          <w:sz w:val="20"/>
          <w:lang w:val="en-GB"/>
        </w:rPr>
        <w:t>About H2Go GmbH</w:t>
      </w:r>
    </w:p>
    <w:p w14:paraId="0BEEC654" w14:textId="5F376F3B" w:rsidR="00E478C0" w:rsidRPr="00511818" w:rsidRDefault="00E478C0" w:rsidP="00E478C0">
      <w:pPr>
        <w:tabs>
          <w:tab w:val="left" w:pos="2595"/>
        </w:tabs>
        <w:spacing w:after="360" w:line="324" w:lineRule="auto"/>
        <w:jc w:val="both"/>
        <w:rPr>
          <w:rFonts w:cstheme="minorHAnsi"/>
          <w:i/>
          <w:sz w:val="20"/>
          <w:lang w:val="en-GB"/>
        </w:rPr>
      </w:pPr>
      <w:r w:rsidRPr="00E478C0">
        <w:rPr>
          <w:rFonts w:cstheme="minorHAnsi"/>
          <w:i/>
          <w:sz w:val="20"/>
          <w:lang w:val="en-GB"/>
        </w:rPr>
        <w:t xml:space="preserve">H2Go GmbH, as a 100% subsidiary of </w:t>
      </w:r>
      <w:proofErr w:type="spellStart"/>
      <w:r w:rsidRPr="00E478C0">
        <w:rPr>
          <w:rFonts w:cstheme="minorHAnsi"/>
          <w:i/>
          <w:sz w:val="20"/>
          <w:lang w:val="en-GB"/>
        </w:rPr>
        <w:t>Hydrogentle</w:t>
      </w:r>
      <w:proofErr w:type="spellEnd"/>
      <w:r w:rsidRPr="00E478C0">
        <w:rPr>
          <w:rFonts w:cstheme="minorHAnsi"/>
          <w:i/>
          <w:sz w:val="20"/>
          <w:lang w:val="en-GB"/>
        </w:rPr>
        <w:t xml:space="preserve"> GmbH, develops and realises projects around environmentally friendly produced green hydrogen for a CO2-free energy supply.</w:t>
      </w:r>
      <w:r>
        <w:rPr>
          <w:rFonts w:cstheme="minorHAnsi"/>
          <w:i/>
          <w:sz w:val="20"/>
          <w:lang w:val="en-GB"/>
        </w:rPr>
        <w:t xml:space="preserve"> </w:t>
      </w:r>
      <w:r w:rsidRPr="00E478C0">
        <w:rPr>
          <w:rFonts w:cstheme="minorHAnsi"/>
          <w:i/>
          <w:sz w:val="20"/>
          <w:lang w:val="en-GB"/>
        </w:rPr>
        <w:t xml:space="preserve"> The focus is on the creation of intelligent networks from the production of green hydrogen, its distribution and the corresponding filling station infrastructure. </w:t>
      </w:r>
      <w:r w:rsidRPr="00511818">
        <w:rPr>
          <w:rFonts w:cstheme="minorHAnsi"/>
          <w:i/>
          <w:sz w:val="20"/>
          <w:lang w:val="en-GB"/>
        </w:rPr>
        <w:t>The company's goal is to position the sustainable energy carrier economically on the market and thus to contribute to the large-scale establishment of the use of green hydrogen and thus to the decarbonisation of commercial vehicle fleets.</w:t>
      </w:r>
    </w:p>
    <w:p w14:paraId="623B373E" w14:textId="27AB537D" w:rsidR="00E478C0" w:rsidRPr="00E478C0" w:rsidRDefault="00E478C0" w:rsidP="00E478C0">
      <w:pPr>
        <w:spacing w:after="0" w:line="324" w:lineRule="auto"/>
        <w:rPr>
          <w:rFonts w:cstheme="minorHAnsi"/>
          <w:bCs/>
          <w:i/>
          <w:sz w:val="20"/>
          <w:lang w:val="en-GB"/>
        </w:rPr>
      </w:pPr>
      <w:r w:rsidRPr="00E478C0">
        <w:rPr>
          <w:rFonts w:cstheme="minorHAnsi"/>
          <w:bCs/>
          <w:i/>
          <w:sz w:val="20"/>
          <w:lang w:val="en-GB"/>
        </w:rPr>
        <w:t xml:space="preserve">For more information, please visit </w:t>
      </w:r>
      <w:hyperlink r:id="rId13" w:history="1">
        <w:r w:rsidRPr="00E478C0">
          <w:rPr>
            <w:rStyle w:val="Hyperlink"/>
            <w:rFonts w:cstheme="minorHAnsi"/>
            <w:bCs/>
            <w:i/>
            <w:sz w:val="20"/>
            <w:lang w:val="en-GB"/>
          </w:rPr>
          <w:t>www.h2-go.net</w:t>
        </w:r>
      </w:hyperlink>
      <w:r w:rsidRPr="00E478C0">
        <w:rPr>
          <w:rStyle w:val="Hyperlink"/>
          <w:rFonts w:cstheme="minorHAnsi"/>
          <w:bCs/>
          <w:i/>
          <w:sz w:val="20"/>
          <w:lang w:val="en-GB"/>
        </w:rPr>
        <w:t xml:space="preserve"> </w:t>
      </w:r>
      <w:r w:rsidRPr="00E478C0">
        <w:rPr>
          <w:rFonts w:cstheme="minorHAnsi"/>
          <w:bCs/>
          <w:i/>
          <w:sz w:val="20"/>
          <w:lang w:val="en-GB"/>
        </w:rPr>
        <w:t xml:space="preserve">and </w:t>
      </w:r>
      <w:hyperlink r:id="rId14" w:history="1">
        <w:r w:rsidRPr="00E478C0">
          <w:rPr>
            <w:rStyle w:val="Hyperlink"/>
            <w:rFonts w:cstheme="minorHAnsi"/>
            <w:bCs/>
            <w:i/>
            <w:sz w:val="20"/>
            <w:lang w:val="en-GB"/>
          </w:rPr>
          <w:t>www.hydrogentle.de</w:t>
        </w:r>
      </w:hyperlink>
      <w:r w:rsidRPr="00E478C0">
        <w:rPr>
          <w:rFonts w:cstheme="minorHAnsi"/>
          <w:bCs/>
          <w:i/>
          <w:sz w:val="20"/>
          <w:lang w:val="en-GB"/>
        </w:rPr>
        <w:t>.</w:t>
      </w:r>
    </w:p>
    <w:p w14:paraId="14C31E3E" w14:textId="194FA171" w:rsidR="00E478C0" w:rsidRPr="00511818" w:rsidRDefault="00E478C0" w:rsidP="00E478C0">
      <w:pPr>
        <w:spacing w:after="0" w:line="324" w:lineRule="auto"/>
        <w:rPr>
          <w:rStyle w:val="Hyperlink"/>
          <w:rFonts w:cstheme="minorHAnsi"/>
          <w:i/>
          <w:iCs/>
          <w:sz w:val="20"/>
          <w:szCs w:val="20"/>
          <w:lang w:val="en-GB"/>
        </w:rPr>
      </w:pPr>
      <w:r w:rsidRPr="00511818">
        <w:rPr>
          <w:rFonts w:cstheme="minorHAnsi"/>
          <w:bCs/>
          <w:i/>
          <w:sz w:val="20"/>
          <w:lang w:val="en-GB"/>
        </w:rPr>
        <w:t xml:space="preserve">Visit </w:t>
      </w:r>
      <w:proofErr w:type="spellStart"/>
      <w:r w:rsidRPr="00511818">
        <w:rPr>
          <w:rFonts w:cstheme="minorHAnsi"/>
          <w:bCs/>
          <w:i/>
          <w:sz w:val="20"/>
          <w:lang w:val="en-GB"/>
        </w:rPr>
        <w:t>Hydrogentle</w:t>
      </w:r>
      <w:proofErr w:type="spellEnd"/>
      <w:r w:rsidRPr="00511818">
        <w:rPr>
          <w:rFonts w:cstheme="minorHAnsi"/>
          <w:bCs/>
          <w:i/>
          <w:sz w:val="20"/>
          <w:lang w:val="en-GB"/>
        </w:rPr>
        <w:t xml:space="preserve">/H2Gol on </w:t>
      </w:r>
      <w:hyperlink r:id="rId15" w:history="1">
        <w:r w:rsidRPr="00511818">
          <w:rPr>
            <w:rStyle w:val="Hyperlink"/>
            <w:rFonts w:cstheme="minorHAnsi"/>
            <w:i/>
            <w:iCs/>
            <w:sz w:val="20"/>
            <w:szCs w:val="20"/>
            <w:lang w:val="en-GB"/>
          </w:rPr>
          <w:t>LinkedIn</w:t>
        </w:r>
      </w:hyperlink>
    </w:p>
    <w:p w14:paraId="19671EAC" w14:textId="77777777" w:rsidR="00E478C0" w:rsidRPr="00511818" w:rsidRDefault="00E478C0" w:rsidP="00E478C0">
      <w:pPr>
        <w:spacing w:after="0" w:line="324" w:lineRule="auto"/>
        <w:rPr>
          <w:rFonts w:cstheme="minorHAnsi"/>
          <w:bCs/>
          <w:i/>
          <w:sz w:val="20"/>
          <w:lang w:val="en-GB"/>
        </w:rPr>
      </w:pPr>
    </w:p>
    <w:p w14:paraId="1C6BE666" w14:textId="77777777" w:rsidR="00E478C0" w:rsidRPr="00E478C0" w:rsidRDefault="00E478C0" w:rsidP="00E478C0">
      <w:pPr>
        <w:spacing w:after="0" w:line="324" w:lineRule="auto"/>
        <w:rPr>
          <w:rFonts w:cstheme="minorHAnsi"/>
          <w:b/>
          <w:bCs/>
          <w:lang w:val="en-GB"/>
        </w:rPr>
      </w:pPr>
      <w:r w:rsidRPr="00E478C0">
        <w:rPr>
          <w:rFonts w:cstheme="minorHAnsi"/>
          <w:b/>
          <w:bCs/>
          <w:lang w:val="en-GB"/>
        </w:rPr>
        <w:t xml:space="preserve">Contact person: </w:t>
      </w:r>
    </w:p>
    <w:p w14:paraId="7272A188" w14:textId="77777777" w:rsidR="00E478C0" w:rsidRPr="00E478C0" w:rsidRDefault="00E478C0" w:rsidP="00E478C0">
      <w:pPr>
        <w:spacing w:after="0" w:line="324" w:lineRule="auto"/>
        <w:rPr>
          <w:rFonts w:cstheme="minorHAnsi"/>
          <w:lang w:val="en-GB"/>
        </w:rPr>
      </w:pPr>
      <w:r w:rsidRPr="00E478C0">
        <w:rPr>
          <w:rFonts w:cstheme="minorHAnsi"/>
          <w:lang w:val="en-GB"/>
        </w:rPr>
        <w:t xml:space="preserve">Dipl.-Ing. Axel </w:t>
      </w:r>
      <w:proofErr w:type="spellStart"/>
      <w:r w:rsidRPr="00E478C0">
        <w:rPr>
          <w:rFonts w:cstheme="minorHAnsi"/>
          <w:lang w:val="en-GB"/>
        </w:rPr>
        <w:t>Poblotzki</w:t>
      </w:r>
      <w:proofErr w:type="spellEnd"/>
      <w:r w:rsidRPr="00E478C0">
        <w:rPr>
          <w:rFonts w:cstheme="minorHAnsi"/>
          <w:lang w:val="en-GB"/>
        </w:rPr>
        <w:t>, Managing Director, info@h2-go.net, +49 (0) 40 2841757221</w:t>
      </w:r>
    </w:p>
    <w:p w14:paraId="6EAEAD12" w14:textId="3A88FF9E" w:rsidR="00D0397A" w:rsidRDefault="00D0397A" w:rsidP="007B29FD">
      <w:pPr>
        <w:spacing w:after="0" w:line="324" w:lineRule="auto"/>
        <w:jc w:val="both"/>
        <w:rPr>
          <w:rFonts w:cstheme="minorHAnsi"/>
          <w:lang w:val="en-GB"/>
        </w:rPr>
      </w:pPr>
    </w:p>
    <w:p w14:paraId="34C312A3" w14:textId="77777777" w:rsidR="00E478C0" w:rsidRPr="00E478C0" w:rsidRDefault="00E478C0" w:rsidP="007B29FD">
      <w:pPr>
        <w:spacing w:after="0" w:line="324" w:lineRule="auto"/>
        <w:jc w:val="both"/>
        <w:rPr>
          <w:rFonts w:cstheme="minorHAnsi"/>
          <w:i/>
          <w:sz w:val="20"/>
          <w:lang w:val="en-GB"/>
        </w:rPr>
      </w:pPr>
    </w:p>
    <w:p w14:paraId="6306D1E1" w14:textId="77777777" w:rsidR="00E478C0" w:rsidRDefault="00D0397A" w:rsidP="00E478C0">
      <w:pPr>
        <w:spacing w:after="360" w:line="324" w:lineRule="auto"/>
        <w:ind w:right="595"/>
        <w:jc w:val="both"/>
        <w:rPr>
          <w:rFonts w:cstheme="minorHAnsi"/>
          <w:b/>
          <w:bCs/>
          <w:i/>
          <w:iCs/>
          <w:sz w:val="20"/>
          <w:szCs w:val="20"/>
          <w:lang w:val="en-US"/>
        </w:rPr>
      </w:pPr>
      <w:r w:rsidRPr="00E478C0">
        <w:rPr>
          <w:rFonts w:cstheme="minorHAnsi"/>
          <w:b/>
          <w:i/>
          <w:sz w:val="20"/>
          <w:lang w:val="en-GB"/>
        </w:rPr>
        <w:t>About Quantron AG</w:t>
      </w:r>
      <w:r w:rsidRPr="00B03E4E">
        <w:rPr>
          <w:rFonts w:cstheme="minorHAnsi"/>
          <w:b/>
          <w:bCs/>
          <w:i/>
          <w:iCs/>
          <w:sz w:val="20"/>
          <w:szCs w:val="20"/>
          <w:lang w:val="en-US"/>
        </w:rPr>
        <w:tab/>
      </w:r>
    </w:p>
    <w:p w14:paraId="5C7C9BE1" w14:textId="17AE9C8D" w:rsidR="00D0397A" w:rsidRPr="00B03E4E" w:rsidRDefault="00D0397A" w:rsidP="00E478C0">
      <w:pPr>
        <w:spacing w:after="360" w:line="324" w:lineRule="auto"/>
        <w:ind w:right="595"/>
        <w:jc w:val="both"/>
        <w:rPr>
          <w:rFonts w:cstheme="minorHAnsi"/>
          <w:i/>
          <w:iCs/>
          <w:sz w:val="20"/>
          <w:szCs w:val="20"/>
          <w:lang w:val="en-US"/>
        </w:rPr>
      </w:pPr>
      <w:r w:rsidRPr="00B03E4E">
        <w:rPr>
          <w:rFonts w:cstheme="minorHAnsi"/>
          <w:i/>
          <w:iCs/>
          <w:sz w:val="20"/>
          <w:szCs w:val="20"/>
          <w:lang w:val="en-US"/>
        </w:rPr>
        <w:t xml:space="preserve">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w:t>
      </w:r>
      <w:r w:rsidRPr="00B03E4E">
        <w:rPr>
          <w:rFonts w:cstheme="minorHAnsi"/>
          <w:i/>
          <w:iCs/>
          <w:sz w:val="20"/>
          <w:szCs w:val="20"/>
          <w:lang w:val="en-US"/>
        </w:rPr>
        <w:lastRenderedPageBreak/>
        <w:t>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6"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7"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8"/>
      <w:footerReference w:type="default" r:id="rId1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1B84" w14:textId="77777777" w:rsidR="00771D50" w:rsidRDefault="00771D50" w:rsidP="00AE78E4">
      <w:pPr>
        <w:spacing w:after="0" w:line="240" w:lineRule="auto"/>
      </w:pPr>
      <w:r>
        <w:separator/>
      </w:r>
    </w:p>
  </w:endnote>
  <w:endnote w:type="continuationSeparator" w:id="0">
    <w:p w14:paraId="527082D1" w14:textId="77777777" w:rsidR="00771D50" w:rsidRDefault="00771D50"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CB52B9">
                            <w:fldChar w:fldCharType="begin"/>
                          </w:r>
                          <w:r w:rsidR="00CB52B9">
                            <w:instrText>NUMPAGES  \* Arabic  \* MERGEFORMAT</w:instrText>
                          </w:r>
                          <w:r w:rsidR="00CB52B9">
                            <w:fldChar w:fldCharType="separate"/>
                          </w:r>
                          <w:r w:rsidR="00851F4C" w:rsidRPr="00851F4C">
                            <w:rPr>
                              <w:bCs/>
                              <w:noProof/>
                              <w:color w:val="0971B7"/>
                              <w:sz w:val="16"/>
                              <w:szCs w:val="16"/>
                            </w:rPr>
                            <w:t>2</w:t>
                          </w:r>
                          <w:r w:rsidR="00CB52B9">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2B2C" w14:textId="77777777" w:rsidR="00771D50" w:rsidRDefault="00771D50" w:rsidP="00AE78E4">
      <w:pPr>
        <w:spacing w:after="0" w:line="240" w:lineRule="auto"/>
      </w:pPr>
      <w:r>
        <w:separator/>
      </w:r>
    </w:p>
  </w:footnote>
  <w:footnote w:type="continuationSeparator" w:id="0">
    <w:p w14:paraId="0D649C85" w14:textId="77777777" w:rsidR="00771D50" w:rsidRDefault="00771D50"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E7F71"/>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B338E"/>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11818"/>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1D50"/>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B52B9"/>
    <w:rsid w:val="00CC27C4"/>
    <w:rsid w:val="00CE5E8B"/>
    <w:rsid w:val="00CF1072"/>
    <w:rsid w:val="00CF77BF"/>
    <w:rsid w:val="00D0397A"/>
    <w:rsid w:val="00D040AD"/>
    <w:rsid w:val="00D17C43"/>
    <w:rsid w:val="00D21EE9"/>
    <w:rsid w:val="00D34006"/>
    <w:rsid w:val="00D41C33"/>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478C0"/>
    <w:rsid w:val="00E512CE"/>
    <w:rsid w:val="00E55CD3"/>
    <w:rsid w:val="00E7139B"/>
    <w:rsid w:val="00E767EC"/>
    <w:rsid w:val="00EA7185"/>
    <w:rsid w:val="00EB04DB"/>
    <w:rsid w:val="00EB1D0B"/>
    <w:rsid w:val="00EC5ECD"/>
    <w:rsid w:val="00F04C31"/>
    <w:rsid w:val="00F05EA4"/>
    <w:rsid w:val="00F1572B"/>
    <w:rsid w:val="00F3742E"/>
    <w:rsid w:val="00F63FEA"/>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2-go.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h2gologistic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ydrogentle.de/?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37</cp:revision>
  <dcterms:created xsi:type="dcterms:W3CDTF">2021-04-12T13:17:00Z</dcterms:created>
  <dcterms:modified xsi:type="dcterms:W3CDTF">2021-06-11T06:40:00Z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