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EE03A8" w:rsidR="007F3AB0" w:rsidP="002975E2" w:rsidRDefault="002D0904" w14:paraId="621FF2D8" w14:textId="33B5C97C">
      <w:pPr>
        <w:tabs>
          <w:tab w:val="right" w:pos="9356"/>
        </w:tabs>
        <w:spacing w:after="0" w:line="360" w:lineRule="auto"/>
        <w:rPr>
          <w:rFonts w:cstheme="minorHAnsi"/>
          <w:sz w:val="20"/>
        </w:rPr>
      </w:pPr>
      <w:r w:rsidRPr="00EE03A8">
        <w:rPr>
          <w:rFonts w:cstheme="minorHAnsi"/>
        </w:rPr>
        <w:t>PRESS</w:t>
      </w:r>
      <w:r w:rsidRPr="00EE03A8" w:rsidR="00845F52">
        <w:rPr>
          <w:rFonts w:cstheme="minorHAnsi"/>
        </w:rPr>
        <w:t xml:space="preserve"> RELEASE</w:t>
      </w:r>
      <w:r w:rsidRPr="00EE03A8">
        <w:rPr>
          <w:rFonts w:cstheme="minorHAnsi"/>
        </w:rPr>
        <w:tab/>
      </w:r>
      <w:r w:rsidR="004A0FEA">
        <w:rPr>
          <w:rFonts w:cstheme="minorHAnsi"/>
          <w:sz w:val="18"/>
        </w:rPr>
        <w:t xml:space="preserve">September </w:t>
      </w:r>
      <w:r w:rsidR="007E3C2C">
        <w:rPr>
          <w:rFonts w:cstheme="minorHAnsi"/>
          <w:sz w:val="18"/>
        </w:rPr>
        <w:t>30</w:t>
      </w:r>
      <w:r w:rsidRPr="003414A3" w:rsidR="003414A3">
        <w:rPr>
          <w:rFonts w:cstheme="minorHAnsi"/>
          <w:sz w:val="18"/>
        </w:rPr>
        <w:t>th</w:t>
      </w:r>
      <w:r w:rsidRPr="003414A3" w:rsidR="00FC3EBE">
        <w:rPr>
          <w:rFonts w:cstheme="minorHAnsi"/>
          <w:sz w:val="18"/>
        </w:rPr>
        <w:t>, 2021</w:t>
      </w:r>
      <w:r w:rsidRPr="00EE03A8" w:rsidR="00FC3EBE">
        <w:rPr>
          <w:rFonts w:cstheme="minorHAnsi"/>
          <w:sz w:val="18"/>
        </w:rPr>
        <w:t xml:space="preserve">  </w:t>
      </w:r>
    </w:p>
    <w:p w:rsidRPr="000673A7" w:rsidR="009E2573" w:rsidP="00671A6F" w:rsidRDefault="007E3C2C" w14:paraId="4AAC4A18" w14:textId="0922DABD">
      <w:pPr>
        <w:spacing w:before="340" w:after="340" w:line="240" w:lineRule="auto"/>
        <w:rPr>
          <w:rFonts w:cstheme="minorHAnsi"/>
          <w:b/>
          <w:bCs/>
          <w:sz w:val="28"/>
          <w:szCs w:val="28"/>
        </w:rPr>
      </w:pPr>
      <w:r w:rsidRPr="007E3C2C">
        <w:rPr>
          <w:rFonts w:cstheme="minorHAnsi"/>
          <w:b/>
          <w:bCs/>
          <w:sz w:val="28"/>
          <w:szCs w:val="28"/>
        </w:rPr>
        <w:t>Unique in Europe: QUANTRON presents fuel cell transporter as part of its hydrogen offensive</w:t>
      </w:r>
    </w:p>
    <w:p w:rsidRPr="007944E8" w:rsidR="00A6632E" w:rsidP="000673A7" w:rsidRDefault="00A6632E" w14:paraId="4AF76D59" w14:textId="3E9C978A">
      <w:pPr>
        <w:pStyle w:val="01Flietext"/>
        <w:numPr>
          <w:ilvl w:val="0"/>
          <w:numId w:val="2"/>
        </w:numPr>
        <w:contextualSpacing/>
        <w:rPr>
          <w:rFonts w:asciiTheme="minorHAnsi" w:hAnsiTheme="minorHAnsi" w:cstheme="minorHAnsi"/>
          <w:sz w:val="22"/>
          <w:szCs w:val="22"/>
        </w:rPr>
      </w:pPr>
      <w:r w:rsidRPr="007944E8">
        <w:rPr>
          <w:rFonts w:asciiTheme="minorHAnsi" w:hAnsiTheme="minorHAnsi" w:cstheme="minorHAnsi"/>
          <w:sz w:val="22"/>
          <w:szCs w:val="22"/>
        </w:rPr>
        <w:t>The Q-Light FCEV is unique in Europe as an H2 vehicle in the 3.5-4.2 t range.</w:t>
      </w:r>
    </w:p>
    <w:p w:rsidRPr="007944E8" w:rsidR="007944E8" w:rsidP="007944E8" w:rsidRDefault="007944E8" w14:paraId="5EE5EFF8" w14:textId="77777777">
      <w:pPr>
        <w:pStyle w:val="01Flietext"/>
        <w:numPr>
          <w:ilvl w:val="0"/>
          <w:numId w:val="2"/>
        </w:numPr>
        <w:contextualSpacing/>
        <w:rPr>
          <w:rFonts w:asciiTheme="minorHAnsi" w:hAnsiTheme="minorHAnsi" w:cstheme="minorHAnsi"/>
          <w:sz w:val="22"/>
          <w:szCs w:val="22"/>
        </w:rPr>
      </w:pPr>
      <w:r w:rsidRPr="007944E8">
        <w:rPr>
          <w:rFonts w:asciiTheme="minorHAnsi" w:hAnsiTheme="minorHAnsi" w:cstheme="minorHAnsi"/>
          <w:sz w:val="22"/>
          <w:szCs w:val="22"/>
        </w:rPr>
        <w:t>Ranges of up to 500 km can be achieved.</w:t>
      </w:r>
    </w:p>
    <w:p w:rsidR="007944E8" w:rsidP="007944E8" w:rsidRDefault="007944E8" w14:paraId="241E2DFC" w14:textId="77777777">
      <w:pPr>
        <w:pStyle w:val="01Flietext"/>
        <w:numPr>
          <w:ilvl w:val="0"/>
          <w:numId w:val="2"/>
        </w:numPr>
        <w:contextualSpacing/>
        <w:rPr>
          <w:rFonts w:asciiTheme="minorHAnsi" w:hAnsiTheme="minorHAnsi" w:cstheme="minorHAnsi"/>
          <w:sz w:val="22"/>
          <w:szCs w:val="22"/>
        </w:rPr>
      </w:pPr>
      <w:r w:rsidRPr="007944E8">
        <w:rPr>
          <w:rFonts w:asciiTheme="minorHAnsi" w:hAnsiTheme="minorHAnsi" w:cstheme="minorHAnsi"/>
          <w:sz w:val="22"/>
          <w:szCs w:val="22"/>
        </w:rPr>
        <w:t>QUANTRON relies on a proven and safe drive technology.</w:t>
      </w:r>
    </w:p>
    <w:p w:rsidRPr="007944E8" w:rsidR="007944E8" w:rsidP="007944E8" w:rsidRDefault="007944E8" w14:paraId="02E82587" w14:textId="322D8E60">
      <w:pPr>
        <w:pStyle w:val="01Flietext"/>
        <w:numPr>
          <w:ilvl w:val="0"/>
          <w:numId w:val="2"/>
        </w:numPr>
        <w:contextualSpacing/>
        <w:rPr>
          <w:rFonts w:asciiTheme="minorHAnsi" w:hAnsiTheme="minorHAnsi" w:cstheme="minorHAnsi"/>
          <w:sz w:val="22"/>
          <w:szCs w:val="22"/>
        </w:rPr>
      </w:pPr>
      <w:r w:rsidRPr="007944E8">
        <w:rPr>
          <w:rFonts w:asciiTheme="minorHAnsi" w:hAnsiTheme="minorHAnsi" w:cstheme="minorHAnsi"/>
          <w:sz w:val="22"/>
          <w:szCs w:val="22"/>
        </w:rPr>
        <w:t>The transporter</w:t>
      </w:r>
      <w:r>
        <w:t xml:space="preserve"> is available with different body variants and can be used in a variety of ways.</w:t>
      </w:r>
    </w:p>
    <w:p w:rsidRPr="00DF3B81" w:rsidR="006D1469" w:rsidP="006D1469" w:rsidRDefault="006D1469" w14:paraId="2278655F" w14:textId="77777777">
      <w:r w:rsidRPr="00DF3B81">
        <w:t xml:space="preserve">Vehicles fuelled with green hydrogen protect the environment, are quiet on the road and convince with a long range. Ideal for sustainable companies that want to rely on emission-free goods transport for the long haul. In addition to fully electric commercial vehicles, Quantron AG also offers mobility solutions with hydrogen fuel cell systems. Their latest product in this segment is the Q-Light FCEV van. </w:t>
      </w:r>
    </w:p>
    <w:p w:rsidRPr="00DF3B81" w:rsidR="006D1469" w:rsidP="006D1469" w:rsidRDefault="006D1469" w14:paraId="7FD5A04F" w14:textId="0297CCB6">
      <w:r w:rsidRPr="00DF3B81">
        <w:t xml:space="preserve">At NUFAM, the leading trade fair for the commercial vehicle industry, QUANTRON presents the Q-Light </w:t>
      </w:r>
      <w:proofErr w:type="gramStart"/>
      <w:r w:rsidRPr="00DF3B81">
        <w:t>to</w:t>
      </w:r>
      <w:proofErr w:type="gramEnd"/>
      <w:r w:rsidRPr="00DF3B81">
        <w:t xml:space="preserve"> a trade audience for the first time. As a hydrogen fuel cell transporter in the 3.5 to 4.2 tonne range, it is unique in Europe. The vehicle is offered in cooperation with QUANTRON partner and fuel cell expert AE Driven Solutions. It is based on a reliable and proven powertrain technology that is already in use in over 400 vehicles throughout Europe. All components of the Q-Light FCEV comply with European safety standards.</w:t>
      </w:r>
    </w:p>
    <w:p w:rsidRPr="00DF3B81" w:rsidR="006D1469" w:rsidP="006D1469" w:rsidRDefault="006D1469" w14:paraId="5A34B4B4" w14:textId="77777777">
      <w:r w:rsidRPr="00DF3B81">
        <w:t>The payload of the Q-Light FCEV is analogous to that of a comparable diesel vehicle. The refuelling time can also be compared to that of a diesel vehicle. The Q-Light FCEV can be driven flexibly in electric or fuel cell mode. The battery capacity is 37 kWh and, like the 15 kW fuel cell used, has a long service life. The waste heat from the fuel cell can also be used to heat the interior, for example, so that additional electricity can be saved.</w:t>
      </w:r>
    </w:p>
    <w:p w:rsidRPr="00DF3B81" w:rsidR="00521709" w:rsidP="006D1469" w:rsidRDefault="006D1469" w14:paraId="449DDA86" w14:textId="59277808">
      <w:r w:rsidRPr="00DF3B81">
        <w:t>QUANTRON supports its customers in finding the ideal vehicle for their individual requirements. Thanks to its wide range of superstructures, the Q-Light FCEV can be used flexibly in different areas of application, for example in the logistics industry or as a delivery vehicle. Thanks to its quiet and emission-free drive, the transporter can also be used during the day and at night. Depending on requirements, the vehicle can be equipped with up to four hydrogen tanks and thus achieve a range of up to 500 km. In the future, the power of the fuel cell will also be scalable, so that the vehicle can be offered in different versions, such as a 7.2 t variant.</w:t>
      </w:r>
    </w:p>
    <w:p w:rsidRPr="006D1469" w:rsidR="00521709" w:rsidP="00F63FEA" w:rsidRDefault="00521709" w14:paraId="1153E198" w14:textId="232007DC">
      <w:pPr>
        <w:spacing w:line="324" w:lineRule="auto"/>
        <w:ind w:right="597"/>
      </w:pPr>
    </w:p>
    <w:p w:rsidR="00E22C56" w:rsidP="00F63FEA" w:rsidRDefault="00421C03" w14:paraId="45CECD81" w14:textId="3F6CDA7E">
      <w:pPr>
        <w:spacing w:line="324" w:lineRule="auto"/>
        <w:ind w:right="597"/>
        <w:rPr>
          <w:rFonts w:cstheme="minorHAnsi"/>
          <w:bCs/>
          <w:lang w:val="en-US"/>
        </w:rPr>
      </w:pPr>
      <w:r w:rsidRPr="002C3500">
        <w:rPr>
          <w:rFonts w:cstheme="minorHAnsi"/>
          <w:bCs/>
          <w:lang w:val="en-US"/>
        </w:rPr>
        <w:lastRenderedPageBreak/>
        <w:t xml:space="preserve">Picture preview: </w:t>
      </w:r>
    </w:p>
    <w:p w:rsidR="005A4303" w:rsidP="005A4303" w:rsidRDefault="005A4303" w14:paraId="4E06F687" w14:textId="77777777">
      <w:pPr>
        <w:spacing w:line="324" w:lineRule="auto"/>
        <w:ind w:right="597"/>
        <w:rPr>
          <w:rFonts w:cstheme="minorHAnsi"/>
          <w:bCs/>
        </w:rPr>
      </w:pPr>
      <w:r>
        <w:rPr>
          <w:rFonts w:cstheme="minorHAnsi"/>
          <w:bCs/>
          <w:noProof/>
          <w:lang w:val="de-DE" w:eastAsia="de-DE"/>
        </w:rPr>
        <w:drawing>
          <wp:inline distT="0" distB="0" distL="0" distR="0" wp14:anchorId="7C2C8250" wp14:editId="52903F22">
            <wp:extent cx="1800000" cy="1200128"/>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s_photo_Quantron_Q-Light-FCEV_Image_2_high-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200128"/>
                    </a:xfrm>
                    <a:prstGeom prst="rect">
                      <a:avLst/>
                    </a:prstGeom>
                  </pic:spPr>
                </pic:pic>
              </a:graphicData>
            </a:graphic>
          </wp:inline>
        </w:drawing>
      </w:r>
      <w:r>
        <w:rPr>
          <w:rFonts w:cstheme="minorHAnsi"/>
          <w:bCs/>
        </w:rPr>
        <w:t xml:space="preserve"> </w:t>
      </w:r>
      <w:r>
        <w:rPr>
          <w:rFonts w:cstheme="minorHAnsi"/>
          <w:bCs/>
          <w:noProof/>
          <w:lang w:val="de-DE" w:eastAsia="de-DE"/>
        </w:rPr>
        <w:drawing>
          <wp:inline distT="0" distB="0" distL="0" distR="0" wp14:anchorId="02D2CFCD" wp14:editId="6C7A93C8">
            <wp:extent cx="1800000" cy="1199936"/>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ess_photo_Quantron_Q-Light-FCEV_Image_1_high-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9936"/>
                    </a:xfrm>
                    <a:prstGeom prst="rect">
                      <a:avLst/>
                    </a:prstGeom>
                  </pic:spPr>
                </pic:pic>
              </a:graphicData>
            </a:graphic>
          </wp:inline>
        </w:drawing>
      </w:r>
      <w:r>
        <w:rPr>
          <w:rFonts w:cstheme="minorHAnsi"/>
          <w:bCs/>
        </w:rPr>
        <w:t xml:space="preserve"> </w:t>
      </w:r>
      <w:r>
        <w:rPr>
          <w:rFonts w:cstheme="minorHAnsi"/>
          <w:bCs/>
          <w:noProof/>
          <w:lang w:val="de-DE" w:eastAsia="de-DE"/>
        </w:rPr>
        <w:drawing>
          <wp:inline distT="0" distB="0" distL="0" distR="0" wp14:anchorId="35845539" wp14:editId="30C635F6">
            <wp:extent cx="1800000" cy="1200128"/>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s_photo_Quantron_Q-Light-FCEV_Image_3_high-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200128"/>
                    </a:xfrm>
                    <a:prstGeom prst="rect">
                      <a:avLst/>
                    </a:prstGeom>
                  </pic:spPr>
                </pic:pic>
              </a:graphicData>
            </a:graphic>
          </wp:inline>
        </w:drawing>
      </w:r>
    </w:p>
    <w:p w:rsidR="00C97C92" w:rsidP="00F63FEA" w:rsidRDefault="00C97C92" w14:paraId="6372310E" w14:textId="76BA8053">
      <w:pPr>
        <w:spacing w:line="324" w:lineRule="auto"/>
        <w:ind w:right="597"/>
        <w:rPr>
          <w:rFonts w:cstheme="minorHAnsi"/>
          <w:bCs/>
          <w:lang w:val="en-US"/>
        </w:rPr>
      </w:pPr>
      <w:bookmarkStart w:name="_GoBack" w:id="0"/>
      <w:bookmarkEnd w:id="0"/>
    </w:p>
    <w:p w:rsidRPr="002C3500" w:rsidR="00F63FEA" w:rsidP="00F63FEA" w:rsidRDefault="00D422CB" w14:paraId="76E22AD1" w14:textId="2ED0C64C">
      <w:pPr>
        <w:spacing w:line="324" w:lineRule="auto"/>
        <w:ind w:right="597"/>
        <w:rPr>
          <w:rFonts w:cstheme="minorHAnsi"/>
          <w:b/>
          <w:lang w:val="en-US"/>
        </w:rPr>
      </w:pPr>
      <w:r w:rsidRPr="2733DAAE">
        <w:rPr>
          <w:lang w:val="en-US"/>
        </w:rPr>
        <w:t xml:space="preserve">You can find the original </w:t>
      </w:r>
      <w:r w:rsidR="00903457">
        <w:rPr>
          <w:lang w:val="en-US"/>
        </w:rPr>
        <w:t>pictures</w:t>
      </w:r>
      <w:r w:rsidRPr="2733DAAE">
        <w:rPr>
          <w:lang w:val="en-US"/>
        </w:rPr>
        <w:t xml:space="preserve"> here: </w:t>
      </w:r>
      <w:hyperlink r:id="rId14">
        <w:r w:rsidRPr="2733DAAE" w:rsidR="00DC2731">
          <w:rPr>
            <w:rStyle w:val="Hyperlink"/>
            <w:lang w:val="en-US"/>
          </w:rPr>
          <w:t>Press releases from Quantron AG</w:t>
        </w:r>
      </w:hyperlink>
      <w:r w:rsidRPr="2733DAAE" w:rsidR="009A4F65">
        <w:rPr>
          <w:lang w:val="en-US"/>
        </w:rPr>
        <w:t xml:space="preserve"> (https://www.quantron.net/en/q-news/pr-berichte/)</w:t>
      </w:r>
      <w:r w:rsidRPr="2733DAAE" w:rsidR="00F63FEA">
        <w:rPr>
          <w:lang w:val="en-US"/>
        </w:rPr>
        <w:t xml:space="preserve"> </w:t>
      </w:r>
    </w:p>
    <w:p w:rsidRPr="00EE03A8" w:rsidR="00FF0798" w:rsidP="00FF0798" w:rsidRDefault="00B45616" w14:paraId="7879DB1F" w14:textId="23D2B74C">
      <w:pPr>
        <w:spacing w:after="0" w:line="324" w:lineRule="auto"/>
        <w:rPr>
          <w:rFonts w:cstheme="minorHAnsi"/>
          <w:b/>
        </w:rPr>
      </w:pPr>
      <w:r w:rsidRPr="00EE03A8">
        <w:rPr>
          <w:rFonts w:cstheme="minorHAnsi"/>
          <w:b/>
        </w:rPr>
        <w:t>Caption</w:t>
      </w:r>
    </w:p>
    <w:p w:rsidR="0032309C" w:rsidP="0032309C" w:rsidRDefault="0032309C" w14:paraId="46CE1A64" w14:textId="449A99E0">
      <w:pPr>
        <w:spacing w:after="0" w:line="324" w:lineRule="auto"/>
        <w:rPr>
          <w:rFonts w:cstheme="minorHAnsi"/>
        </w:rPr>
      </w:pPr>
      <w:r w:rsidRPr="000673A7">
        <w:rPr>
          <w:rFonts w:cstheme="minorHAnsi"/>
        </w:rPr>
        <w:t xml:space="preserve">The </w:t>
      </w:r>
      <w:r>
        <w:rPr>
          <w:rFonts w:cstheme="minorHAnsi"/>
        </w:rPr>
        <w:t xml:space="preserve">new </w:t>
      </w:r>
      <w:r w:rsidR="0036025C">
        <w:rPr>
          <w:rFonts w:cstheme="minorHAnsi"/>
        </w:rPr>
        <w:t>Q-Light FCEV fr</w:t>
      </w:r>
      <w:r w:rsidRPr="000673A7">
        <w:rPr>
          <w:rFonts w:cstheme="minorHAnsi"/>
        </w:rPr>
        <w:t>om QUANTRON</w:t>
      </w:r>
      <w:r w:rsidR="00903457">
        <w:rPr>
          <w:rFonts w:cstheme="minorHAnsi"/>
        </w:rPr>
        <w:t>.</w:t>
      </w:r>
    </w:p>
    <w:p w:rsidR="00A55557" w:rsidP="00A55557" w:rsidRDefault="00A55557" w14:paraId="30D5DE64" w14:textId="77777777">
      <w:pPr>
        <w:spacing w:after="0" w:line="324" w:lineRule="auto"/>
        <w:rPr>
          <w:rFonts w:cstheme="minorHAnsi"/>
        </w:rPr>
      </w:pPr>
    </w:p>
    <w:p w:rsidRPr="00A55557" w:rsidR="00A55557" w:rsidP="00A55557" w:rsidRDefault="00A55557" w14:paraId="731062F3" w14:textId="15F7BA83">
      <w:pPr>
        <w:spacing w:after="0" w:line="324" w:lineRule="auto"/>
        <w:rPr>
          <w:rFonts w:cstheme="minorHAnsi"/>
          <w:b/>
          <w:bCs/>
        </w:rPr>
      </w:pPr>
      <w:r w:rsidRPr="00A55557">
        <w:rPr>
          <w:rFonts w:cstheme="minorHAnsi"/>
          <w:b/>
          <w:bCs/>
        </w:rPr>
        <w:t xml:space="preserve">Product Video: </w:t>
      </w:r>
    </w:p>
    <w:p w:rsidR="00A55557" w:rsidP="00A55557" w:rsidRDefault="00A55557" w14:paraId="52EA2DBE" w14:textId="7CB2C497">
      <w:pPr>
        <w:spacing w:after="0" w:line="324" w:lineRule="auto"/>
        <w:rPr>
          <w:rFonts w:cstheme="minorHAnsi"/>
        </w:rPr>
      </w:pPr>
      <w:r>
        <w:rPr>
          <w:rFonts w:cstheme="minorHAnsi"/>
        </w:rPr>
        <w:t>A product video of the Q-Light FCEV can be found on the YouTube channel of Quantron AG.</w:t>
      </w:r>
    </w:p>
    <w:p w:rsidR="00A55557" w:rsidP="29A23B8F" w:rsidRDefault="00A55557" w14:paraId="7CE9A830" w14:textId="24DFA717">
      <w:pPr>
        <w:pStyle w:val="Standard"/>
        <w:spacing w:after="0" w:line="240" w:lineRule="auto"/>
        <w:rPr>
          <w:lang w:val="de-DE"/>
        </w:rPr>
      </w:pPr>
      <w:r w:rsidRPr="29A23B8F" w:rsidR="00A55557">
        <w:rPr>
          <w:rFonts w:cs="Calibri" w:cstheme="minorAscii"/>
        </w:rPr>
        <w:t xml:space="preserve">Short version: </w:t>
      </w:r>
      <w:hyperlink r:id="Rf27cce70d6164454">
        <w:r w:rsidRPr="29A23B8F" w:rsidR="1C90F989">
          <w:rPr>
            <w:rStyle w:val="Hyperlink"/>
            <w:rFonts w:ascii="Calibri" w:hAnsi="Calibri" w:eastAsia="Calibri" w:cs="Calibri"/>
            <w:b w:val="0"/>
            <w:bCs w:val="0"/>
            <w:i w:val="0"/>
            <w:iCs w:val="0"/>
            <w:caps w:val="0"/>
            <w:smallCaps w:val="0"/>
            <w:noProof w:val="0"/>
            <w:sz w:val="22"/>
            <w:szCs w:val="22"/>
            <w:lang w:val="en-GB"/>
          </w:rPr>
          <w:t>https://youtu.be/aE9mIlUsqGg</w:t>
        </w:r>
      </w:hyperlink>
    </w:p>
    <w:p w:rsidR="00A53D4A" w:rsidP="29A23B8F" w:rsidRDefault="00A55557" w14:paraId="055EF8D7" w14:textId="26EE0361">
      <w:pPr>
        <w:pStyle w:val="Standard"/>
        <w:spacing w:after="0" w:line="240" w:lineRule="auto"/>
      </w:pPr>
      <w:r w:rsidRPr="29A23B8F" w:rsidR="00A55557">
        <w:rPr>
          <w:rFonts w:cs="Calibri" w:cstheme="minorAscii"/>
        </w:rPr>
        <w:t xml:space="preserve">Long version: </w:t>
      </w:r>
      <w:r w:rsidRPr="29A23B8F" w:rsidR="00A53D4A">
        <w:rPr>
          <w:rFonts w:ascii="Calibri" w:hAnsi="Calibri" w:eastAsia="Calibri" w:cs="Calibri"/>
        </w:rPr>
        <w:t xml:space="preserve"> </w:t>
      </w:r>
      <w:r w:rsidRPr="29A23B8F" w:rsidR="00A53D4A">
        <w:rPr>
          <w:rFonts w:ascii="Segoe UI" w:hAnsi="Segoe UI" w:cs="Segoe UI"/>
          <w:sz w:val="21"/>
          <w:szCs w:val="21"/>
        </w:rPr>
        <w:t xml:space="preserve"> </w:t>
      </w:r>
      <w:hyperlink r:id="R9e5355748ded4e28">
        <w:r w:rsidRPr="29A23B8F" w:rsidR="0A7A8B0C">
          <w:rPr>
            <w:rStyle w:val="Hyperlink"/>
            <w:rFonts w:ascii="Calibri" w:hAnsi="Calibri" w:eastAsia="Calibri" w:cs="Calibri"/>
            <w:b w:val="0"/>
            <w:bCs w:val="0"/>
            <w:i w:val="0"/>
            <w:iCs w:val="0"/>
            <w:caps w:val="0"/>
            <w:smallCaps w:val="0"/>
            <w:noProof w:val="0"/>
            <w:sz w:val="22"/>
            <w:szCs w:val="22"/>
            <w:lang w:val="en-GB"/>
          </w:rPr>
          <w:t>https://youtu.be/uOn4Q5V8BJ4</w:t>
        </w:r>
      </w:hyperlink>
    </w:p>
    <w:p w:rsidR="00A53D4A" w:rsidP="0032309C" w:rsidRDefault="00A53D4A" w14:paraId="7A0DFAE4" w14:textId="77777777">
      <w:pPr>
        <w:spacing w:after="0" w:line="324" w:lineRule="auto"/>
        <w:rPr>
          <w:rFonts w:cstheme="minorHAnsi"/>
        </w:rPr>
      </w:pPr>
    </w:p>
    <w:p w:rsidR="000673A7" w:rsidP="002D0904" w:rsidRDefault="000673A7" w14:paraId="3AC966B1" w14:textId="5B755BEE">
      <w:pPr>
        <w:spacing w:after="0" w:line="324" w:lineRule="auto"/>
        <w:rPr>
          <w:rFonts w:cstheme="minorHAnsi"/>
        </w:rPr>
      </w:pPr>
    </w:p>
    <w:p w:rsidR="00B57ED7" w:rsidP="00B57ED7" w:rsidRDefault="00B57ED7" w14:paraId="388C7615" w14:textId="754F585D">
      <w:pPr>
        <w:rPr>
          <w:b/>
          <w:bCs/>
        </w:rPr>
      </w:pPr>
      <w:r w:rsidRPr="00153AD8">
        <w:rPr>
          <w:b/>
          <w:bCs/>
        </w:rPr>
        <w:t>Vehicle data Q-Light FCEV</w:t>
      </w:r>
    </w:p>
    <w:tbl>
      <w:tblPr>
        <w:tblStyle w:val="Tabellenraste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2523"/>
        <w:gridCol w:w="2966"/>
      </w:tblGrid>
      <w:tr w:rsidR="008C0B6B" w:rsidTr="001367B9" w14:paraId="70253A18" w14:textId="77777777">
        <w:tc>
          <w:tcPr>
            <w:tcW w:w="0" w:type="auto"/>
            <w:tcBorders>
              <w:top w:val="single" w:color="auto" w:sz="6" w:space="0"/>
              <w:left w:val="single" w:color="auto" w:sz="6" w:space="0"/>
              <w:bottom w:val="single" w:color="auto" w:sz="6" w:space="0"/>
              <w:right w:val="single" w:color="auto" w:sz="6" w:space="0"/>
            </w:tcBorders>
            <w:hideMark/>
          </w:tcPr>
          <w:p w:rsidR="008C0B6B" w:rsidP="001367B9" w:rsidRDefault="008C0B6B" w14:paraId="47724C6C" w14:textId="77777777">
            <w:pPr>
              <w:spacing w:line="324" w:lineRule="auto"/>
              <w:rPr>
                <w:rFonts w:cstheme="minorHAnsi"/>
              </w:rPr>
            </w:pPr>
            <w:r>
              <w:t>Gross vehicle weight</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06EA9365" w14:textId="77777777">
            <w:pPr>
              <w:spacing w:line="324" w:lineRule="auto"/>
              <w:jc w:val="center"/>
              <w:rPr>
                <w:rFonts w:cstheme="minorHAnsi"/>
              </w:rPr>
            </w:pPr>
            <w:r>
              <w:rPr>
                <w:rFonts w:cstheme="minorHAnsi"/>
              </w:rPr>
              <w:t>4.2 t</w:t>
            </w:r>
          </w:p>
        </w:tc>
      </w:tr>
      <w:tr w:rsidR="008C0B6B" w:rsidTr="001367B9" w14:paraId="05EC0D00" w14:textId="77777777">
        <w:tc>
          <w:tcPr>
            <w:tcW w:w="0" w:type="auto"/>
            <w:tcBorders>
              <w:top w:val="single" w:color="auto" w:sz="6" w:space="0"/>
              <w:left w:val="single" w:color="auto" w:sz="6" w:space="0"/>
              <w:bottom w:val="single" w:color="auto" w:sz="6" w:space="0"/>
              <w:right w:val="single" w:color="auto" w:sz="6" w:space="0"/>
            </w:tcBorders>
            <w:hideMark/>
          </w:tcPr>
          <w:p w:rsidR="008C0B6B" w:rsidP="001367B9" w:rsidRDefault="008C0B6B" w14:paraId="5F329198" w14:textId="4F4B08E3">
            <w:pPr>
              <w:spacing w:line="324" w:lineRule="auto"/>
              <w:rPr>
                <w:rFonts w:cstheme="minorHAnsi"/>
              </w:rPr>
            </w:pPr>
            <w:r>
              <w:t xml:space="preserve">Power </w:t>
            </w:r>
            <w:r w:rsidR="007711A0">
              <w:t>e</w:t>
            </w:r>
            <w:r>
              <w:t>-mode</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32085D32" w14:textId="77777777">
            <w:pPr>
              <w:spacing w:line="324" w:lineRule="auto"/>
              <w:jc w:val="center"/>
              <w:rPr>
                <w:rFonts w:cstheme="minorHAnsi"/>
              </w:rPr>
            </w:pPr>
            <w:r>
              <w:rPr>
                <w:rFonts w:cstheme="minorHAnsi"/>
              </w:rPr>
              <w:t>100 kW (136 PS)</w:t>
            </w:r>
          </w:p>
        </w:tc>
      </w:tr>
      <w:tr w:rsidR="008C0B6B" w:rsidTr="001367B9" w14:paraId="3CCE027B" w14:textId="77777777">
        <w:tc>
          <w:tcPr>
            <w:tcW w:w="0" w:type="auto"/>
            <w:tcBorders>
              <w:top w:val="single" w:color="auto" w:sz="6" w:space="0"/>
              <w:left w:val="single" w:color="auto" w:sz="6" w:space="0"/>
              <w:bottom w:val="single" w:color="auto" w:sz="6" w:space="0"/>
              <w:right w:val="single" w:color="auto" w:sz="6" w:space="0"/>
            </w:tcBorders>
            <w:hideMark/>
          </w:tcPr>
          <w:p w:rsidR="008C0B6B" w:rsidP="001367B9" w:rsidRDefault="008C0B6B" w14:paraId="4BBB7791" w14:textId="2834385C">
            <w:pPr>
              <w:spacing w:line="324" w:lineRule="auto"/>
              <w:rPr>
                <w:rFonts w:cstheme="minorHAnsi"/>
              </w:rPr>
            </w:pPr>
            <w:r>
              <w:t xml:space="preserve">Maximum torque </w:t>
            </w:r>
            <w:r w:rsidR="009D67F2">
              <w:t>e-mode</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71E6C2D9" w14:textId="77777777">
            <w:pPr>
              <w:spacing w:line="324" w:lineRule="auto"/>
              <w:jc w:val="center"/>
              <w:rPr>
                <w:rFonts w:cstheme="minorHAnsi"/>
              </w:rPr>
            </w:pPr>
            <w:r>
              <w:rPr>
                <w:rFonts w:cstheme="minorHAnsi"/>
              </w:rPr>
              <w:t>1150 Nm</w:t>
            </w:r>
          </w:p>
        </w:tc>
      </w:tr>
      <w:tr w:rsidR="008C0B6B" w:rsidTr="001367B9" w14:paraId="1BDA11FF" w14:textId="77777777">
        <w:tc>
          <w:tcPr>
            <w:tcW w:w="0" w:type="auto"/>
            <w:tcBorders>
              <w:top w:val="single" w:color="auto" w:sz="6" w:space="0"/>
              <w:left w:val="single" w:color="auto" w:sz="6" w:space="0"/>
              <w:bottom w:val="single" w:color="auto" w:sz="6" w:space="0"/>
              <w:right w:val="single" w:color="auto" w:sz="6" w:space="0"/>
            </w:tcBorders>
            <w:hideMark/>
          </w:tcPr>
          <w:p w:rsidR="008C0B6B" w:rsidP="001367B9" w:rsidRDefault="008C0B6B" w14:paraId="46420811" w14:textId="77777777">
            <w:pPr>
              <w:spacing w:line="324" w:lineRule="auto"/>
              <w:rPr>
                <w:rFonts w:cstheme="minorHAnsi"/>
              </w:rPr>
            </w:pPr>
            <w:r>
              <w:t>Top speed</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6E3C56C7" w14:textId="77777777">
            <w:pPr>
              <w:spacing w:line="324" w:lineRule="auto"/>
              <w:jc w:val="center"/>
              <w:rPr>
                <w:rFonts w:cstheme="minorHAnsi"/>
              </w:rPr>
            </w:pPr>
            <w:r>
              <w:rPr>
                <w:rFonts w:cstheme="minorHAnsi"/>
              </w:rPr>
              <w:t>90 km/h</w:t>
            </w:r>
          </w:p>
        </w:tc>
      </w:tr>
      <w:tr w:rsidR="008C0B6B" w:rsidTr="001367B9" w14:paraId="7B3C7406" w14:textId="77777777">
        <w:tc>
          <w:tcPr>
            <w:tcW w:w="0" w:type="auto"/>
            <w:tcBorders>
              <w:top w:val="single" w:color="auto" w:sz="6" w:space="0"/>
              <w:left w:val="single" w:color="auto" w:sz="6" w:space="0"/>
              <w:bottom w:val="single" w:color="auto" w:sz="6" w:space="0"/>
              <w:right w:val="single" w:color="auto" w:sz="6" w:space="0"/>
            </w:tcBorders>
          </w:tcPr>
          <w:p w:rsidR="008C0B6B" w:rsidP="001367B9" w:rsidRDefault="008C0B6B" w14:paraId="17F1274D" w14:textId="77777777">
            <w:pPr>
              <w:spacing w:line="324" w:lineRule="auto"/>
              <w:rPr>
                <w:rFonts w:cstheme="minorHAnsi"/>
              </w:rPr>
            </w:pPr>
            <w:r>
              <w:t>Hydrogen per tank</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197D6946" w14:textId="77777777">
            <w:pPr>
              <w:spacing w:line="324" w:lineRule="auto"/>
              <w:jc w:val="center"/>
              <w:rPr>
                <w:rFonts w:cstheme="minorHAnsi"/>
              </w:rPr>
            </w:pPr>
            <w:r>
              <w:t>Approx</w:t>
            </w:r>
            <w:r>
              <w:rPr>
                <w:rFonts w:cstheme="minorHAnsi"/>
              </w:rPr>
              <w:t>. 2.1 kg</w:t>
            </w:r>
          </w:p>
        </w:tc>
      </w:tr>
      <w:tr w:rsidR="008C0B6B" w:rsidTr="001367B9" w14:paraId="3D861AA5" w14:textId="77777777">
        <w:tc>
          <w:tcPr>
            <w:tcW w:w="0" w:type="auto"/>
            <w:tcBorders>
              <w:top w:val="single" w:color="auto" w:sz="6" w:space="0"/>
              <w:left w:val="single" w:color="auto" w:sz="6" w:space="0"/>
              <w:bottom w:val="single" w:color="auto" w:sz="6" w:space="0"/>
              <w:right w:val="single" w:color="auto" w:sz="6" w:space="0"/>
            </w:tcBorders>
            <w:hideMark/>
          </w:tcPr>
          <w:p w:rsidR="008C0B6B" w:rsidP="001367B9" w:rsidRDefault="008C0B6B" w14:paraId="593C02F6" w14:textId="77777777">
            <w:pPr>
              <w:spacing w:line="324" w:lineRule="auto"/>
              <w:rPr>
                <w:rFonts w:cstheme="minorHAnsi"/>
              </w:rPr>
            </w:pPr>
            <w:r>
              <w:t>Range (2 tanks / 4 tanks)</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6E4A9013" w14:textId="77777777">
            <w:pPr>
              <w:spacing w:line="324" w:lineRule="auto"/>
              <w:jc w:val="center"/>
              <w:rPr>
                <w:rFonts w:cstheme="minorHAnsi"/>
              </w:rPr>
            </w:pPr>
            <w:r>
              <w:rPr>
                <w:rFonts w:cstheme="minorHAnsi"/>
              </w:rPr>
              <w:t>300 km / 500 km</w:t>
            </w:r>
          </w:p>
        </w:tc>
      </w:tr>
      <w:tr w:rsidR="008C0B6B" w:rsidTr="001367B9" w14:paraId="5F2E7DC6" w14:textId="77777777">
        <w:tc>
          <w:tcPr>
            <w:tcW w:w="0" w:type="auto"/>
            <w:tcBorders>
              <w:top w:val="single" w:color="auto" w:sz="6" w:space="0"/>
              <w:left w:val="single" w:color="auto" w:sz="6" w:space="0"/>
              <w:bottom w:val="single" w:color="auto" w:sz="6" w:space="0"/>
              <w:right w:val="single" w:color="auto" w:sz="6" w:space="0"/>
            </w:tcBorders>
            <w:hideMark/>
          </w:tcPr>
          <w:p w:rsidR="008C0B6B" w:rsidP="001367B9" w:rsidRDefault="008C0B6B" w14:paraId="5CB8FB97" w14:textId="77777777">
            <w:pPr>
              <w:spacing w:line="324" w:lineRule="auto"/>
              <w:rPr>
                <w:rFonts w:cstheme="minorHAnsi"/>
              </w:rPr>
            </w:pPr>
            <w:r>
              <w:t>Fuel cell power</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3F98ACEB" w14:textId="77777777">
            <w:pPr>
              <w:spacing w:line="324" w:lineRule="auto"/>
              <w:jc w:val="center"/>
              <w:rPr>
                <w:rFonts w:cstheme="minorHAnsi"/>
              </w:rPr>
            </w:pPr>
            <w:r>
              <w:rPr>
                <w:rFonts w:cstheme="minorHAnsi"/>
              </w:rPr>
              <w:t>15 kW</w:t>
            </w:r>
          </w:p>
        </w:tc>
      </w:tr>
      <w:tr w:rsidR="008C0B6B" w:rsidTr="001367B9" w14:paraId="5481A3E2" w14:textId="77777777">
        <w:tc>
          <w:tcPr>
            <w:tcW w:w="0" w:type="auto"/>
            <w:tcBorders>
              <w:top w:val="single" w:color="auto" w:sz="6" w:space="0"/>
              <w:left w:val="single" w:color="auto" w:sz="6" w:space="0"/>
              <w:bottom w:val="single" w:color="auto" w:sz="6" w:space="0"/>
              <w:right w:val="single" w:color="auto" w:sz="6" w:space="0"/>
            </w:tcBorders>
            <w:hideMark/>
          </w:tcPr>
          <w:p w:rsidR="008C0B6B" w:rsidP="001367B9" w:rsidRDefault="008C0B6B" w14:paraId="159BFCEF" w14:textId="77777777">
            <w:pPr>
              <w:spacing w:line="324" w:lineRule="auto"/>
              <w:rPr>
                <w:rFonts w:cstheme="minorHAnsi"/>
              </w:rPr>
            </w:pPr>
            <w:r>
              <w:t>Battery capacity</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1C4314CC" w14:textId="77777777">
            <w:pPr>
              <w:spacing w:line="324" w:lineRule="auto"/>
              <w:jc w:val="center"/>
              <w:rPr>
                <w:rFonts w:cstheme="minorHAnsi"/>
              </w:rPr>
            </w:pPr>
            <w:r>
              <w:rPr>
                <w:rFonts w:cstheme="minorHAnsi"/>
              </w:rPr>
              <w:t>37 kWh</w:t>
            </w:r>
          </w:p>
        </w:tc>
      </w:tr>
      <w:tr w:rsidR="008C0B6B" w:rsidTr="001367B9" w14:paraId="247612B4" w14:textId="77777777">
        <w:tc>
          <w:tcPr>
            <w:tcW w:w="0" w:type="auto"/>
            <w:tcBorders>
              <w:top w:val="single" w:color="auto" w:sz="6" w:space="0"/>
              <w:left w:val="single" w:color="auto" w:sz="6" w:space="0"/>
              <w:bottom w:val="single" w:color="auto" w:sz="6" w:space="0"/>
              <w:right w:val="single" w:color="auto" w:sz="6" w:space="0"/>
            </w:tcBorders>
            <w:hideMark/>
          </w:tcPr>
          <w:p w:rsidR="008C0B6B" w:rsidP="001367B9" w:rsidRDefault="008C0B6B" w14:paraId="0C7903C6" w14:textId="77777777">
            <w:pPr>
              <w:spacing w:line="324" w:lineRule="auto"/>
              <w:rPr>
                <w:rFonts w:cstheme="minorHAnsi"/>
              </w:rPr>
            </w:pPr>
            <w:r>
              <w:t>Charging capacity</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19928146" w14:textId="77777777">
            <w:pPr>
              <w:spacing w:line="324" w:lineRule="auto"/>
              <w:jc w:val="center"/>
              <w:rPr>
                <w:rFonts w:cstheme="minorHAnsi"/>
              </w:rPr>
            </w:pPr>
            <w:r>
              <w:rPr>
                <w:rFonts w:cstheme="minorHAnsi"/>
              </w:rPr>
              <w:t>6,6 kW</w:t>
            </w:r>
          </w:p>
        </w:tc>
      </w:tr>
      <w:tr w:rsidR="008C0B6B" w:rsidTr="001367B9" w14:paraId="70A4CE1B" w14:textId="77777777">
        <w:tc>
          <w:tcPr>
            <w:tcW w:w="0" w:type="auto"/>
            <w:tcBorders>
              <w:top w:val="single" w:color="auto" w:sz="6" w:space="0"/>
              <w:left w:val="single" w:color="auto" w:sz="6" w:space="0"/>
              <w:bottom w:val="single" w:color="auto" w:sz="6" w:space="0"/>
              <w:right w:val="single" w:color="auto" w:sz="6" w:space="0"/>
            </w:tcBorders>
          </w:tcPr>
          <w:p w:rsidR="008C0B6B" w:rsidP="001367B9" w:rsidRDefault="008C0B6B" w14:paraId="60B846AD" w14:textId="77777777">
            <w:pPr>
              <w:spacing w:line="324" w:lineRule="auto"/>
              <w:rPr>
                <w:rFonts w:cstheme="minorHAnsi"/>
              </w:rPr>
            </w:pPr>
            <w:r>
              <w:t>Battery charging cycles</w:t>
            </w:r>
          </w:p>
        </w:tc>
        <w:tc>
          <w:tcPr>
            <w:tcW w:w="2966" w:type="dxa"/>
            <w:tcBorders>
              <w:top w:val="single" w:color="auto" w:sz="6" w:space="0"/>
              <w:left w:val="single" w:color="auto" w:sz="6" w:space="0"/>
              <w:bottom w:val="single" w:color="auto" w:sz="6" w:space="0"/>
              <w:right w:val="single" w:color="auto" w:sz="6" w:space="0"/>
            </w:tcBorders>
          </w:tcPr>
          <w:p w:rsidR="008C0B6B" w:rsidP="001367B9" w:rsidRDefault="008C0B6B" w14:paraId="187C3909" w14:textId="77777777">
            <w:pPr>
              <w:spacing w:line="324" w:lineRule="auto"/>
              <w:jc w:val="center"/>
              <w:rPr>
                <w:rFonts w:cstheme="minorHAnsi"/>
              </w:rPr>
            </w:pPr>
            <w:r>
              <w:rPr>
                <w:rFonts w:cstheme="minorHAnsi"/>
              </w:rPr>
              <w:t>3.000</w:t>
            </w:r>
          </w:p>
        </w:tc>
      </w:tr>
    </w:tbl>
    <w:p w:rsidRPr="00153AD8" w:rsidR="008C0B6B" w:rsidP="00B57ED7" w:rsidRDefault="008C0B6B" w14:paraId="7FFDD21B" w14:textId="77777777">
      <w:pPr>
        <w:rPr>
          <w:b/>
          <w:bCs/>
        </w:rPr>
      </w:pPr>
    </w:p>
    <w:p w:rsidR="00D0397A" w:rsidP="007B29FD" w:rsidRDefault="00D0397A" w14:paraId="6EAEAD12" w14:textId="23B77FCB">
      <w:pPr>
        <w:spacing w:after="0" w:line="324" w:lineRule="auto"/>
        <w:jc w:val="both"/>
        <w:rPr>
          <w:rFonts w:cstheme="minorHAnsi"/>
        </w:rPr>
      </w:pPr>
    </w:p>
    <w:p w:rsidRPr="000673A7" w:rsidR="000673A7" w:rsidP="007B29FD" w:rsidRDefault="000673A7" w14:paraId="51AE5674" w14:textId="77777777">
      <w:pPr>
        <w:spacing w:after="0" w:line="324" w:lineRule="auto"/>
        <w:jc w:val="both"/>
        <w:rPr>
          <w:rFonts w:cstheme="minorHAnsi"/>
          <w:i/>
          <w:sz w:val="20"/>
        </w:rPr>
      </w:pPr>
    </w:p>
    <w:p w:rsidR="00D0397A" w:rsidP="00D0397A" w:rsidRDefault="00D0397A" w14:paraId="5C7C9BE1" w14:textId="5E77EA5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r w:rsidRPr="00B03E4E" w:rsidR="007A3D6B">
        <w:rPr>
          <w:rFonts w:cstheme="minorHAnsi"/>
          <w:i/>
          <w:iCs/>
          <w:sz w:val="20"/>
          <w:szCs w:val="20"/>
          <w:lang w:val="en-US"/>
        </w:rPr>
        <w:t>customized</w:t>
      </w:r>
      <w:r w:rsidRPr="00B03E4E">
        <w:rPr>
          <w:rFonts w:cstheme="minorHAnsi"/>
          <w:i/>
          <w:iCs/>
          <w:sz w:val="20"/>
          <w:szCs w:val="20"/>
          <w:lang w:val="en-US"/>
        </w:rPr>
        <w:t xml:space="preserve"> electrification concepts to manufacturers of commercial vehicles, </w:t>
      </w:r>
      <w:r w:rsidRPr="00B03E4E" w:rsidR="005545FB">
        <w:rPr>
          <w:rFonts w:cstheme="minorHAnsi"/>
          <w:i/>
          <w:iCs/>
          <w:sz w:val="20"/>
          <w:szCs w:val="20"/>
          <w:lang w:val="en-US"/>
        </w:rPr>
        <w:t>machinery,</w:t>
      </w:r>
      <w:r w:rsidRPr="00B03E4E">
        <w:rPr>
          <w:rFonts w:cstheme="minorHAnsi"/>
          <w:i/>
          <w:iCs/>
          <w:sz w:val="20"/>
          <w:szCs w:val="20"/>
          <w:lang w:val="en-US"/>
        </w:rPr>
        <w:t xml:space="preserve">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rsidRPr="00B03E4E" w:rsidR="00260260" w:rsidP="00D0397A" w:rsidRDefault="00260260" w14:paraId="39667828" w14:textId="79D6C34C">
      <w:pPr>
        <w:spacing w:after="0" w:line="324" w:lineRule="auto"/>
        <w:ind w:right="597"/>
        <w:jc w:val="both"/>
        <w:rPr>
          <w:rFonts w:cstheme="minorHAnsi"/>
          <w:i/>
          <w:iCs/>
          <w:sz w:val="20"/>
          <w:szCs w:val="20"/>
          <w:lang w:val="en-US"/>
        </w:rPr>
      </w:pPr>
      <w:r w:rsidRPr="00260260">
        <w:rPr>
          <w:rFonts w:cstheme="minorHAnsi"/>
          <w:i/>
          <w:iCs/>
          <w:sz w:val="20"/>
          <w:szCs w:val="20"/>
          <w:lang w:val="en-US"/>
        </w:rPr>
        <w:t>Every day, Quantron AG researches e-vehicles and zero-emission drive technologies to make them even more efficient and economical, thus making a significant contribution to sustainable, environmentally friendly passenger and freight transport.</w:t>
      </w:r>
    </w:p>
    <w:p w:rsidRPr="002C3500" w:rsidR="00D0397A" w:rsidP="007B29FD" w:rsidRDefault="00D0397A" w14:paraId="305C357C" w14:textId="77777777">
      <w:pPr>
        <w:spacing w:after="0" w:line="324" w:lineRule="auto"/>
        <w:jc w:val="both"/>
        <w:rPr>
          <w:rFonts w:cstheme="minorHAnsi"/>
          <w:i/>
          <w:sz w:val="20"/>
          <w:lang w:val="en-US"/>
        </w:rPr>
      </w:pPr>
    </w:p>
    <w:p w:rsidRPr="00B03E4E" w:rsidR="001F0FDD" w:rsidP="001F0FDD" w:rsidRDefault="001F0FDD" w14:paraId="3BB4FDF4" w14:textId="77777777">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rsidRPr="00D93C73" w:rsidR="002C3500" w:rsidP="002C3500" w:rsidRDefault="002C3500" w14:paraId="0EDFB7AA" w14:textId="77777777">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w:history="1" r:id="rId15">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w:history="1" r:id="rId16">
        <w:r w:rsidRPr="00D93C73">
          <w:rPr>
            <w:rStyle w:val="Hyperlink"/>
            <w:rFonts w:cstheme="minorHAnsi"/>
            <w:i/>
            <w:iCs/>
            <w:sz w:val="20"/>
            <w:szCs w:val="20"/>
            <w:lang w:val="en-US"/>
          </w:rPr>
          <w:t>YouTube</w:t>
        </w:r>
      </w:hyperlink>
      <w:r w:rsidRPr="00D93C73">
        <w:rPr>
          <w:rFonts w:cstheme="minorHAnsi"/>
          <w:i/>
          <w:iCs/>
          <w:sz w:val="20"/>
          <w:szCs w:val="20"/>
          <w:lang w:val="en-US"/>
        </w:rPr>
        <w:t>.</w:t>
      </w:r>
    </w:p>
    <w:p w:rsidRPr="002C3500" w:rsidR="00A170CF" w:rsidP="002D0904" w:rsidRDefault="00A170CF" w14:paraId="488022BD" w14:textId="77777777">
      <w:pPr>
        <w:spacing w:after="0" w:line="324" w:lineRule="auto"/>
        <w:rPr>
          <w:rFonts w:cstheme="minorHAnsi"/>
          <w:lang w:val="en-US"/>
        </w:rPr>
      </w:pPr>
    </w:p>
    <w:p w:rsidRPr="002C3500" w:rsidR="002D0904" w:rsidP="002D0904" w:rsidRDefault="002D0904" w14:paraId="021EA34E" w14:textId="77777777">
      <w:pPr>
        <w:spacing w:after="0" w:line="324" w:lineRule="auto"/>
        <w:rPr>
          <w:rFonts w:cstheme="minorHAnsi"/>
          <w:lang w:val="en-US"/>
        </w:rPr>
      </w:pPr>
    </w:p>
    <w:p w:rsidRPr="00790717" w:rsidR="00AE78E4" w:rsidP="002D0904" w:rsidRDefault="00113A8A" w14:paraId="6C6B9FE8" w14:textId="5989DC9A">
      <w:pPr>
        <w:spacing w:after="0" w:line="324" w:lineRule="auto"/>
        <w:rPr>
          <w:rFonts w:cstheme="minorHAnsi"/>
          <w:b/>
        </w:rPr>
      </w:pPr>
      <w:r>
        <w:rPr>
          <w:b/>
          <w:bCs/>
        </w:rPr>
        <w:t>Your contact</w:t>
      </w:r>
      <w:r w:rsidR="00BE057C">
        <w:rPr>
          <w:b/>
          <w:bCs/>
        </w:rPr>
        <w:t xml:space="preserve">: </w:t>
      </w:r>
    </w:p>
    <w:p w:rsidRPr="00A45115" w:rsidR="0026162A" w:rsidP="0026162A" w:rsidRDefault="61DDB593" w14:paraId="50BE927F" w14:textId="73198B30">
      <w:pPr>
        <w:rPr>
          <w:rFonts w:ascii="Calibri" w:hAnsi="Calibri" w:eastAsia="Calibri" w:cs="Calibri"/>
        </w:rPr>
      </w:pPr>
      <w:r w:rsidRPr="15BB30EC">
        <w:rPr>
          <w:rFonts w:ascii="Calibri" w:hAnsi="Calibri" w:eastAsia="Calibri" w:cs="Calibri"/>
        </w:rPr>
        <w:t>Volker Seitz</w:t>
      </w:r>
      <w:r w:rsidR="005240B0">
        <w:rPr>
          <w:rFonts w:ascii="Calibri" w:hAnsi="Calibri" w:eastAsia="Calibri" w:cs="Calibri"/>
        </w:rPr>
        <w:t xml:space="preserve">, </w:t>
      </w:r>
      <w:r w:rsidR="00D34006">
        <w:rPr>
          <w:rFonts w:ascii="Calibri" w:hAnsi="Calibri" w:eastAsia="Calibri" w:cs="Calibri"/>
        </w:rPr>
        <w:t>CCO Quantron AG</w:t>
      </w:r>
      <w:r w:rsidR="005240B0">
        <w:rPr>
          <w:rFonts w:ascii="Calibri" w:hAnsi="Calibri" w:eastAsia="Calibri" w:cs="Calibri"/>
        </w:rPr>
        <w:t xml:space="preserve">, </w:t>
      </w:r>
      <w:r w:rsidRPr="00BA6AD9" w:rsidR="005240B0">
        <w:rPr>
          <w:rFonts w:ascii="Calibri" w:hAnsi="Calibri" w:eastAsia="Calibri" w:cs="Calibri"/>
        </w:rPr>
        <w:t>press@quantron.net</w:t>
      </w:r>
      <w:r w:rsidR="005240B0">
        <w:rPr>
          <w:rFonts w:ascii="Calibri" w:hAnsi="Calibri" w:eastAsia="Calibri" w:cs="Calibri"/>
        </w:rPr>
        <w:t xml:space="preserve">, </w:t>
      </w:r>
      <w:r w:rsidRPr="00A45115" w:rsidR="005240B0">
        <w:rPr>
          <w:rFonts w:ascii="Calibri" w:hAnsi="Calibri" w:eastAsia="Calibri" w:cs="Calibri"/>
        </w:rPr>
        <w:t>+49 (0) 821 78 98 40 86</w:t>
      </w:r>
      <w:r w:rsidR="0026162A">
        <w:rPr>
          <w:rFonts w:ascii="Calibri" w:hAnsi="Calibri" w:eastAsia="Calibri" w:cs="Calibri"/>
        </w:rPr>
        <w:br/>
      </w:r>
    </w:p>
    <w:p w:rsidRPr="008B421F" w:rsidR="61DDB593" w:rsidP="15BB30EC" w:rsidRDefault="61DDB593" w14:paraId="059C0DE8" w14:textId="3A06E169">
      <w:pPr>
        <w:spacing w:line="324" w:lineRule="auto"/>
        <w:rPr>
          <w:rFonts w:ascii="Calibri" w:hAnsi="Calibri" w:eastAsia="Calibri" w:cs="Calibri"/>
        </w:rPr>
      </w:pPr>
    </w:p>
    <w:p w:rsidR="15BB30EC" w:rsidP="15BB30EC" w:rsidRDefault="15BB30EC" w14:paraId="5F0DCE40" w14:textId="0ECE43A5">
      <w:pPr>
        <w:spacing w:after="0" w:line="324" w:lineRule="auto"/>
      </w:pPr>
    </w:p>
    <w:sectPr w:rsidR="15BB30EC" w:rsidSect="007E6A5C">
      <w:headerReference w:type="default" r:id="rId17"/>
      <w:footerReference w:type="default" r:id="rId18"/>
      <w:pgSz w:w="11906" w:h="16838" w:orient="portrait"/>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F9" w:rsidP="00AE78E4" w:rsidRDefault="00C03EF9" w14:paraId="41B2C4CE" w14:textId="77777777">
      <w:pPr>
        <w:spacing w:after="0" w:line="240" w:lineRule="auto"/>
      </w:pPr>
      <w:r>
        <w:separator/>
      </w:r>
    </w:p>
  </w:endnote>
  <w:endnote w:type="continuationSeparator" w:id="0">
    <w:p w:rsidR="00C03EF9" w:rsidP="00AE78E4" w:rsidRDefault="00C03EF9" w14:paraId="424BE753" w14:textId="77777777">
      <w:pPr>
        <w:spacing w:after="0" w:line="240" w:lineRule="auto"/>
      </w:pPr>
      <w:r>
        <w:continuationSeparator/>
      </w:r>
    </w:p>
  </w:endnote>
  <w:endnote w:type="continuationNotice" w:id="1">
    <w:p w:rsidR="00C03EF9" w:rsidRDefault="00C03EF9" w14:paraId="223115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2D0904" w:rsidR="002D0904" w:rsidP="001A0965" w:rsidRDefault="00370BC2" w14:paraId="1D129F06" w14:textId="77777777">
    <w:pPr>
      <w:pStyle w:val="Fuzeile"/>
      <w:rPr>
        <w:b/>
        <w:color w:val="595959" w:themeColor="text1" w:themeTint="A6"/>
      </w:rPr>
    </w:pPr>
    <w:r w:rsidRPr="00370BC2">
      <w:rPr>
        <w:b/>
        <w:noProof/>
        <w:color w:val="595959" w:themeColor="text1" w:themeTint="A6"/>
        <w:lang w:val="de-DE" w:eastAsia="de-DE"/>
      </w:rPr>
      <w:drawing>
        <wp:anchor distT="0" distB="0" distL="114300" distR="114300" simplePos="0" relativeHeight="251658242"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rsidRPr="00BA516A" w:rsidR="002D0904" w:rsidP="001A0965" w:rsidRDefault="002D0904" w14:paraId="6E6B60D9" w14:textId="77777777">
    <w:pPr>
      <w:pStyle w:val="Fuzeile"/>
      <w:rPr>
        <w:color w:val="595959" w:themeColor="text1" w:themeTint="A6"/>
        <w:sz w:val="20"/>
        <w:lang w:val="de-DE"/>
      </w:rPr>
    </w:pPr>
    <w:r w:rsidRPr="00BA516A">
      <w:rPr>
        <w:color w:val="595959" w:themeColor="text1" w:themeTint="A6"/>
        <w:sz w:val="20"/>
        <w:lang w:val="de-DE"/>
      </w:rPr>
      <w:t>Koblenzer Straße 2, D-86368 Gersthofen</w:t>
    </w:r>
  </w:p>
  <w:p w:rsidRPr="00BA516A" w:rsidR="002D0904" w:rsidP="001A0965" w:rsidRDefault="00A53D29" w14:paraId="286F6376" w14:textId="39830F3D">
    <w:pPr>
      <w:pStyle w:val="Fuzeile"/>
      <w:rPr>
        <w:color w:val="595959" w:themeColor="text1" w:themeTint="A6"/>
        <w:sz w:val="20"/>
        <w:lang w:val="de-DE"/>
      </w:rPr>
    </w:pPr>
    <w:r>
      <w:rPr>
        <w:noProof/>
        <w:color w:val="595959" w:themeColor="text1" w:themeTint="A6"/>
        <w:sz w:val="20"/>
        <w:lang w:val="de-DE" w:eastAsia="de-DE"/>
      </w:rPr>
      <mc:AlternateContent>
        <mc:Choice Requires="wps">
          <w:drawing>
            <wp:anchor distT="45720" distB="45720" distL="114300" distR="114300" simplePos="0" relativeHeight="251658243"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rsidRPr="00790717" w:rsidR="00790717" w:rsidP="00790717" w:rsidRDefault="00C36740" w14:paraId="32B569B8" w14:textId="133B5219">
                          <w:pPr>
                            <w:rPr>
                              <w:color w:val="0971B7"/>
                              <w:sz w:val="16"/>
                              <w:szCs w:val="16"/>
                            </w:rPr>
                          </w:pPr>
                          <w:proofErr w:type="gramStart"/>
                          <w:r>
                            <w:rPr>
                              <w:bCs/>
                              <w:color w:val="0971B7"/>
                              <w:sz w:val="16"/>
                              <w:szCs w:val="16"/>
                            </w:rPr>
                            <w:t>page</w:t>
                          </w:r>
                          <w:proofErr w:type="gramEnd"/>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030B82">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r>
                            <w:rPr>
                              <w:color w:val="0971B7"/>
                              <w:sz w:val="16"/>
                              <w:szCs w:val="16"/>
                            </w:rPr>
                            <w:t>of</w:t>
                          </w:r>
                          <w:r w:rsidRPr="00790717" w:rsidR="00790717">
                            <w:rPr>
                              <w:color w:val="0971B7"/>
                              <w:sz w:val="16"/>
                              <w:szCs w:val="16"/>
                            </w:rPr>
                            <w:t xml:space="preserve"> </w:t>
                          </w:r>
                          <w:r w:rsidR="007040D0">
                            <w:rPr>
                              <w:bCs/>
                              <w:noProof/>
                              <w:color w:val="0971B7"/>
                              <w:sz w:val="16"/>
                              <w:szCs w:val="16"/>
                            </w:rPr>
                            <w:fldChar w:fldCharType="begin"/>
                          </w:r>
                          <w:r w:rsidR="007040D0">
                            <w:rPr>
                              <w:bCs/>
                              <w:noProof/>
                              <w:color w:val="0971B7"/>
                              <w:sz w:val="16"/>
                              <w:szCs w:val="16"/>
                            </w:rPr>
                            <w:instrText>NUMPAGES  \* Arabic  \* MERGEFORMAT</w:instrText>
                          </w:r>
                          <w:r w:rsidR="007040D0">
                            <w:rPr>
                              <w:bCs/>
                              <w:noProof/>
                              <w:color w:val="0971B7"/>
                              <w:sz w:val="16"/>
                              <w:szCs w:val="16"/>
                            </w:rPr>
                            <w:fldChar w:fldCharType="separate"/>
                          </w:r>
                          <w:r w:rsidR="00030B82">
                            <w:rPr>
                              <w:bCs/>
                              <w:noProof/>
                              <w:color w:val="0971B7"/>
                              <w:sz w:val="16"/>
                              <w:szCs w:val="16"/>
                            </w:rPr>
                            <w:t>3</w:t>
                          </w:r>
                          <w:r w:rsidR="007040D0">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540D112">
              <v:stroke joinstyle="miter"/>
              <v:path gradientshapeok="t" o:connecttype="rect"/>
            </v:shapetype>
            <v:shape id="Textfeld 2" style="position:absolute;margin-left:441.4pt;margin-top:6.85pt;width:81.45pt;height:2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v:textbox>
                <w:txbxContent>
                  <w:p w:rsidRPr="00790717" w:rsidR="00790717" w:rsidP="00790717" w:rsidRDefault="00C36740" w14:paraId="32B569B8" w14:textId="133B5219">
                    <w:pPr>
                      <w:rPr>
                        <w:color w:val="0971B7"/>
                        <w:sz w:val="16"/>
                        <w:szCs w:val="16"/>
                      </w:rPr>
                    </w:pPr>
                    <w:proofErr w:type="gramStart"/>
                    <w:r>
                      <w:rPr>
                        <w:bCs/>
                        <w:color w:val="0971B7"/>
                        <w:sz w:val="16"/>
                        <w:szCs w:val="16"/>
                      </w:rPr>
                      <w:t>page</w:t>
                    </w:r>
                    <w:proofErr w:type="gramEnd"/>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030B82">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r>
                      <w:rPr>
                        <w:color w:val="0971B7"/>
                        <w:sz w:val="16"/>
                        <w:szCs w:val="16"/>
                      </w:rPr>
                      <w:t>of</w:t>
                    </w:r>
                    <w:r w:rsidRPr="00790717" w:rsidR="00790717">
                      <w:rPr>
                        <w:color w:val="0971B7"/>
                        <w:sz w:val="16"/>
                        <w:szCs w:val="16"/>
                      </w:rPr>
                      <w:t xml:space="preserve"> </w:t>
                    </w:r>
                    <w:r w:rsidR="007040D0">
                      <w:rPr>
                        <w:bCs/>
                        <w:noProof/>
                        <w:color w:val="0971B7"/>
                        <w:sz w:val="16"/>
                        <w:szCs w:val="16"/>
                      </w:rPr>
                      <w:fldChar w:fldCharType="begin"/>
                    </w:r>
                    <w:r w:rsidR="007040D0">
                      <w:rPr>
                        <w:bCs/>
                        <w:noProof/>
                        <w:color w:val="0971B7"/>
                        <w:sz w:val="16"/>
                        <w:szCs w:val="16"/>
                      </w:rPr>
                      <w:instrText>NUMPAGES  \* Arabic  \* MERGEFORMAT</w:instrText>
                    </w:r>
                    <w:r w:rsidR="007040D0">
                      <w:rPr>
                        <w:bCs/>
                        <w:noProof/>
                        <w:color w:val="0971B7"/>
                        <w:sz w:val="16"/>
                        <w:szCs w:val="16"/>
                      </w:rPr>
                      <w:fldChar w:fldCharType="separate"/>
                    </w:r>
                    <w:r w:rsidR="00030B82">
                      <w:rPr>
                        <w:bCs/>
                        <w:noProof/>
                        <w:color w:val="0971B7"/>
                        <w:sz w:val="16"/>
                        <w:szCs w:val="16"/>
                      </w:rPr>
                      <w:t>3</w:t>
                    </w:r>
                    <w:r w:rsidR="007040D0">
                      <w:rPr>
                        <w:bCs/>
                        <w:noProof/>
                        <w:color w:val="0971B7"/>
                        <w:sz w:val="16"/>
                        <w:szCs w:val="16"/>
                      </w:rPr>
                      <w:fldChar w:fldCharType="end"/>
                    </w:r>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1"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90717" w:rsidR="00A60ED5" w:rsidP="00790717" w:rsidRDefault="00A60ED5" w14:paraId="0EDE37BB" w14:textId="7777777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uppieren 32" style="position:absolute;margin-left:-19.65pt;margin-top:9.6pt;width:74.75pt;height:24.3pt;z-index:251658241;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Pr="00BA516A" w:rsidR="002D0904">
      <w:rPr>
        <w:color w:val="595959" w:themeColor="text1" w:themeTint="A6"/>
        <w:sz w:val="20"/>
        <w:lang w:val="de-DE"/>
      </w:rPr>
      <w:t>Phone: +49(0)821-789840-0</w:t>
    </w:r>
  </w:p>
  <w:p w:rsidRPr="005D2817" w:rsidR="00AE78E4" w:rsidP="001A0965" w:rsidRDefault="002D0904" w14:paraId="54477ECE" w14:textId="24700E40">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F9" w:rsidP="00AE78E4" w:rsidRDefault="00C03EF9" w14:paraId="1E97E73D" w14:textId="77777777">
      <w:pPr>
        <w:spacing w:after="0" w:line="240" w:lineRule="auto"/>
      </w:pPr>
      <w:r>
        <w:separator/>
      </w:r>
    </w:p>
  </w:footnote>
  <w:footnote w:type="continuationSeparator" w:id="0">
    <w:p w:rsidR="00C03EF9" w:rsidP="00AE78E4" w:rsidRDefault="00C03EF9" w14:paraId="36EFB4CE" w14:textId="77777777">
      <w:pPr>
        <w:spacing w:after="0" w:line="240" w:lineRule="auto"/>
      </w:pPr>
      <w:r>
        <w:continuationSeparator/>
      </w:r>
    </w:p>
  </w:footnote>
  <w:footnote w:type="continuationNotice" w:id="1">
    <w:p w:rsidR="00C03EF9" w:rsidRDefault="00C03EF9" w14:paraId="5D8AC95B"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E78E4" w:rsidRDefault="00AE78E4" w14:paraId="7BC6EF89" w14:textId="77777777">
    <w:pPr>
      <w:pStyle w:val="Kopfzeile"/>
    </w:pPr>
  </w:p>
  <w:p w:rsidR="00AE78E4" w:rsidP="001A0965" w:rsidRDefault="001A0965" w14:paraId="19E047F1" w14:textId="77777777">
    <w:pPr>
      <w:pStyle w:val="Kopfzeile"/>
    </w:pPr>
    <w:r w:rsidRPr="001A0965">
      <w:rPr>
        <w:noProof/>
        <w:lang w:val="de-DE" w:eastAsia="de-DE"/>
      </w:rPr>
      <w:drawing>
        <wp:anchor distT="0" distB="0" distL="114300" distR="114300" simplePos="0" relativeHeight="251658240"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6031B"/>
    <w:multiLevelType w:val="hybridMultilevel"/>
    <w:tmpl w:val="C8F26A1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FF"/>
    <w:rsid w:val="00001517"/>
    <w:rsid w:val="000117DC"/>
    <w:rsid w:val="000213A6"/>
    <w:rsid w:val="00030B82"/>
    <w:rsid w:val="0003259C"/>
    <w:rsid w:val="00035FFF"/>
    <w:rsid w:val="000371E5"/>
    <w:rsid w:val="00054DE0"/>
    <w:rsid w:val="00066D0F"/>
    <w:rsid w:val="000673A7"/>
    <w:rsid w:val="000928E5"/>
    <w:rsid w:val="000B4D14"/>
    <w:rsid w:val="000B5570"/>
    <w:rsid w:val="000C14CE"/>
    <w:rsid w:val="000C6948"/>
    <w:rsid w:val="000C71F9"/>
    <w:rsid w:val="000F1CEA"/>
    <w:rsid w:val="001039A1"/>
    <w:rsid w:val="00113A8A"/>
    <w:rsid w:val="00113E8F"/>
    <w:rsid w:val="00114B77"/>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0260"/>
    <w:rsid w:val="0026162A"/>
    <w:rsid w:val="00264CC2"/>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2309C"/>
    <w:rsid w:val="00332DC1"/>
    <w:rsid w:val="003414A3"/>
    <w:rsid w:val="0036025C"/>
    <w:rsid w:val="00370BC2"/>
    <w:rsid w:val="00374E8B"/>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0FEA"/>
    <w:rsid w:val="004A2B2D"/>
    <w:rsid w:val="004B32B0"/>
    <w:rsid w:val="004B3DD1"/>
    <w:rsid w:val="004E1467"/>
    <w:rsid w:val="004E1DEF"/>
    <w:rsid w:val="005012F4"/>
    <w:rsid w:val="00504F1D"/>
    <w:rsid w:val="00521709"/>
    <w:rsid w:val="005240B0"/>
    <w:rsid w:val="005248CC"/>
    <w:rsid w:val="0052668B"/>
    <w:rsid w:val="00534909"/>
    <w:rsid w:val="0053512B"/>
    <w:rsid w:val="00536239"/>
    <w:rsid w:val="005545FB"/>
    <w:rsid w:val="005546AA"/>
    <w:rsid w:val="0056386B"/>
    <w:rsid w:val="00592440"/>
    <w:rsid w:val="005A4303"/>
    <w:rsid w:val="005D2334"/>
    <w:rsid w:val="005D2817"/>
    <w:rsid w:val="005E2014"/>
    <w:rsid w:val="00634747"/>
    <w:rsid w:val="00671A6F"/>
    <w:rsid w:val="0069705D"/>
    <w:rsid w:val="006B0E2C"/>
    <w:rsid w:val="006B4D38"/>
    <w:rsid w:val="006B7543"/>
    <w:rsid w:val="006C35E2"/>
    <w:rsid w:val="006D1469"/>
    <w:rsid w:val="006E7E02"/>
    <w:rsid w:val="007040D0"/>
    <w:rsid w:val="00704F71"/>
    <w:rsid w:val="00710CE9"/>
    <w:rsid w:val="00712870"/>
    <w:rsid w:val="007145E8"/>
    <w:rsid w:val="0071627E"/>
    <w:rsid w:val="00733B4B"/>
    <w:rsid w:val="0074160C"/>
    <w:rsid w:val="00745FEA"/>
    <w:rsid w:val="00754015"/>
    <w:rsid w:val="007628A4"/>
    <w:rsid w:val="00764817"/>
    <w:rsid w:val="00765BB9"/>
    <w:rsid w:val="007711A0"/>
    <w:rsid w:val="00775363"/>
    <w:rsid w:val="00776508"/>
    <w:rsid w:val="00776D92"/>
    <w:rsid w:val="00790717"/>
    <w:rsid w:val="007944E8"/>
    <w:rsid w:val="007A3D6B"/>
    <w:rsid w:val="007B1053"/>
    <w:rsid w:val="007B29FD"/>
    <w:rsid w:val="007B314C"/>
    <w:rsid w:val="007D27BB"/>
    <w:rsid w:val="007D2FC7"/>
    <w:rsid w:val="007E37C8"/>
    <w:rsid w:val="007E3C2C"/>
    <w:rsid w:val="007E5F19"/>
    <w:rsid w:val="007E6A5C"/>
    <w:rsid w:val="007F3AB0"/>
    <w:rsid w:val="008103CB"/>
    <w:rsid w:val="00811A60"/>
    <w:rsid w:val="008269B4"/>
    <w:rsid w:val="00832EC9"/>
    <w:rsid w:val="00845F52"/>
    <w:rsid w:val="00851F4C"/>
    <w:rsid w:val="0085284F"/>
    <w:rsid w:val="008838EC"/>
    <w:rsid w:val="0088536F"/>
    <w:rsid w:val="008A116F"/>
    <w:rsid w:val="008A18B2"/>
    <w:rsid w:val="008A41D6"/>
    <w:rsid w:val="008B421F"/>
    <w:rsid w:val="008B735F"/>
    <w:rsid w:val="008B7AF6"/>
    <w:rsid w:val="008C0B6B"/>
    <w:rsid w:val="008D4615"/>
    <w:rsid w:val="008E251B"/>
    <w:rsid w:val="008E51D6"/>
    <w:rsid w:val="008F514A"/>
    <w:rsid w:val="009004C8"/>
    <w:rsid w:val="00903457"/>
    <w:rsid w:val="009071ED"/>
    <w:rsid w:val="009138CA"/>
    <w:rsid w:val="0091746D"/>
    <w:rsid w:val="009248EA"/>
    <w:rsid w:val="009260C6"/>
    <w:rsid w:val="00935198"/>
    <w:rsid w:val="00940AEE"/>
    <w:rsid w:val="00940EA4"/>
    <w:rsid w:val="00944B0D"/>
    <w:rsid w:val="00977723"/>
    <w:rsid w:val="009A4F65"/>
    <w:rsid w:val="009A527F"/>
    <w:rsid w:val="009C434C"/>
    <w:rsid w:val="009D67F2"/>
    <w:rsid w:val="009D7EB1"/>
    <w:rsid w:val="009E2573"/>
    <w:rsid w:val="00A055C7"/>
    <w:rsid w:val="00A1262D"/>
    <w:rsid w:val="00A12F98"/>
    <w:rsid w:val="00A170CF"/>
    <w:rsid w:val="00A23C7F"/>
    <w:rsid w:val="00A24721"/>
    <w:rsid w:val="00A45115"/>
    <w:rsid w:val="00A459AF"/>
    <w:rsid w:val="00A51E69"/>
    <w:rsid w:val="00A53D29"/>
    <w:rsid w:val="00A53D4A"/>
    <w:rsid w:val="00A5551E"/>
    <w:rsid w:val="00A55557"/>
    <w:rsid w:val="00A60ED5"/>
    <w:rsid w:val="00A6632E"/>
    <w:rsid w:val="00A80F21"/>
    <w:rsid w:val="00A83308"/>
    <w:rsid w:val="00A92819"/>
    <w:rsid w:val="00A939FD"/>
    <w:rsid w:val="00A9587D"/>
    <w:rsid w:val="00A9700E"/>
    <w:rsid w:val="00AA6C54"/>
    <w:rsid w:val="00AC7214"/>
    <w:rsid w:val="00AE29CD"/>
    <w:rsid w:val="00AE78E4"/>
    <w:rsid w:val="00B15DB5"/>
    <w:rsid w:val="00B22998"/>
    <w:rsid w:val="00B31303"/>
    <w:rsid w:val="00B45616"/>
    <w:rsid w:val="00B55EE6"/>
    <w:rsid w:val="00B57ED7"/>
    <w:rsid w:val="00B60081"/>
    <w:rsid w:val="00B860DA"/>
    <w:rsid w:val="00BA1CC6"/>
    <w:rsid w:val="00BA2B45"/>
    <w:rsid w:val="00BA516A"/>
    <w:rsid w:val="00BA6AD9"/>
    <w:rsid w:val="00BB39DA"/>
    <w:rsid w:val="00BC49AA"/>
    <w:rsid w:val="00BC7E72"/>
    <w:rsid w:val="00BE057C"/>
    <w:rsid w:val="00BE073B"/>
    <w:rsid w:val="00BF688A"/>
    <w:rsid w:val="00C03EF9"/>
    <w:rsid w:val="00C36740"/>
    <w:rsid w:val="00C44DDA"/>
    <w:rsid w:val="00C45A18"/>
    <w:rsid w:val="00C57008"/>
    <w:rsid w:val="00C63E4C"/>
    <w:rsid w:val="00C867F7"/>
    <w:rsid w:val="00C96478"/>
    <w:rsid w:val="00C97C92"/>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B1F1B"/>
    <w:rsid w:val="00DB398C"/>
    <w:rsid w:val="00DC2731"/>
    <w:rsid w:val="00DC6508"/>
    <w:rsid w:val="00DE1DCF"/>
    <w:rsid w:val="00DF3B81"/>
    <w:rsid w:val="00DF5878"/>
    <w:rsid w:val="00E13E09"/>
    <w:rsid w:val="00E22C56"/>
    <w:rsid w:val="00E27DC9"/>
    <w:rsid w:val="00E35B4F"/>
    <w:rsid w:val="00E3707F"/>
    <w:rsid w:val="00E44092"/>
    <w:rsid w:val="00E512CE"/>
    <w:rsid w:val="00E55CD3"/>
    <w:rsid w:val="00E7139B"/>
    <w:rsid w:val="00E767EC"/>
    <w:rsid w:val="00EA7185"/>
    <w:rsid w:val="00EB04DB"/>
    <w:rsid w:val="00EB1D0B"/>
    <w:rsid w:val="00EB5E4D"/>
    <w:rsid w:val="00EC5ECD"/>
    <w:rsid w:val="00EE03A8"/>
    <w:rsid w:val="00F04C31"/>
    <w:rsid w:val="00F05EA4"/>
    <w:rsid w:val="00F1572B"/>
    <w:rsid w:val="00F21828"/>
    <w:rsid w:val="00F3742E"/>
    <w:rsid w:val="00F63FEA"/>
    <w:rsid w:val="00F72981"/>
    <w:rsid w:val="00F74E18"/>
    <w:rsid w:val="00FA306B"/>
    <w:rsid w:val="00FB59B4"/>
    <w:rsid w:val="00FC3EBE"/>
    <w:rsid w:val="00FC6EB1"/>
    <w:rsid w:val="00FD41AC"/>
    <w:rsid w:val="00FF0798"/>
    <w:rsid w:val="0A7A8B0C"/>
    <w:rsid w:val="15BB30EC"/>
    <w:rsid w:val="1C90F989"/>
    <w:rsid w:val="2733DAAE"/>
    <w:rsid w:val="2802BF8C"/>
    <w:rsid w:val="29A23B8F"/>
    <w:rsid w:val="348397D3"/>
    <w:rsid w:val="37528F91"/>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9E2573"/>
    <w:rPr>
      <w:lang w:val="en-GB"/>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styleId="NichtaufgelsteErwhnung1" w:customStyle="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styleId="KommentarthemaZchn" w:customStyle="1">
    <w:name w:val="Kommentarthema Zchn"/>
    <w:basedOn w:val="KommentartextZchn"/>
    <w:link w:val="Kommentarthema"/>
    <w:uiPriority w:val="99"/>
    <w:semiHidden/>
    <w:rsid w:val="00473615"/>
    <w:rPr>
      <w:b/>
      <w:bCs/>
      <w:sz w:val="20"/>
      <w:szCs w:val="20"/>
    </w:rPr>
  </w:style>
  <w:style w:type="character" w:styleId="NichtaufgelsteErwhnung2" w:customStyle="1">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styleId="01Flietext" w:customStyle="1">
    <w:name w:val="01_Fließtext"/>
    <w:basedOn w:val="Standard"/>
    <w:qFormat/>
    <w:rsid w:val="00401889"/>
    <w:pPr>
      <w:spacing w:after="340" w:line="324" w:lineRule="auto"/>
    </w:pPr>
    <w:rPr>
      <w:rFonts w:ascii="Daimler CS Light" w:hAnsi="Daimler CS Light"/>
      <w:sz w:val="21"/>
      <w:szCs w:val="21"/>
    </w:rPr>
  </w:style>
  <w:style w:type="paragraph" w:styleId="ZwischenberschriftdasWichtigste" w:customStyle="1">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styleId="ZwischenberschriftdasWichtigsteZchn" w:customStyle="1">
    <w:name w:val="Zwischenüberschrift das Wichtigste Zchn"/>
    <w:basedOn w:val="berschrift3Zchn"/>
    <w:link w:val="ZwischenberschriftdasWichtigste"/>
    <w:rsid w:val="004954AD"/>
    <w:rPr>
      <w:rFonts w:ascii="Daimler CS Demi" w:hAnsi="Daimler CS Demi" w:eastAsiaTheme="majorEastAsia" w:cstheme="majorBidi"/>
      <w:color w:val="243F60" w:themeColor="accent1" w:themeShade="7F"/>
      <w:sz w:val="21"/>
      <w:szCs w:val="24"/>
    </w:rPr>
  </w:style>
  <w:style w:type="character" w:styleId="berschrift3Zchn" w:customStyle="1">
    <w:name w:val="Überschrift 3 Zchn"/>
    <w:basedOn w:val="Absatz-Standardschriftart"/>
    <w:link w:val="berschrift3"/>
    <w:uiPriority w:val="9"/>
    <w:semiHidden/>
    <w:rsid w:val="004954AD"/>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1740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youtube.com/channel/UCDQ-CKkS8XMHcJ9Ze-6UVNA"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linkedin.com/company/quantron-ag"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quantron.net/en/q-news/pr-berichte/" TargetMode="External" Id="rId14" /><Relationship Type="http://schemas.openxmlformats.org/officeDocument/2006/relationships/hyperlink" Target="https://youtu.be/aE9mIlUsqGg" TargetMode="External" Id="Rf27cce70d6164454" /><Relationship Type="http://schemas.openxmlformats.org/officeDocument/2006/relationships/hyperlink" Target="https://youtu.be/uOn4Q5V8BJ4" TargetMode="External" Id="R9e5355748ded4e28" /></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7A1F41C9-66AE-4C82-8166-8E0E132D43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Seitz</dc:creator>
  <lastModifiedBy>Stephanie Miller | Quantron AG</lastModifiedBy>
  <revision>26</revision>
  <dcterms:created xsi:type="dcterms:W3CDTF">2021-09-17T12:45:00.0000000Z</dcterms:created>
  <dcterms:modified xsi:type="dcterms:W3CDTF">2021-09-30T10:21:34.9010547Z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