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12238FF2" w:rsidR="007F3AB0" w:rsidRPr="00790717" w:rsidRDefault="002D0904" w:rsidP="00620D80">
      <w:pPr>
        <w:tabs>
          <w:tab w:val="right" w:pos="9356"/>
        </w:tabs>
        <w:spacing w:after="0" w:line="360" w:lineRule="auto"/>
        <w:rPr>
          <w:rFonts w:cstheme="minorHAnsi"/>
          <w:sz w:val="20"/>
        </w:rPr>
      </w:pPr>
      <w:r>
        <w:t xml:space="preserve">PRESS RELEASE        </w:t>
      </w:r>
      <w:r w:rsidR="00620D80">
        <w:tab/>
      </w:r>
      <w:r>
        <w:t xml:space="preserve"> </w:t>
      </w:r>
      <w:r>
        <w:rPr>
          <w:sz w:val="18"/>
        </w:rPr>
        <w:t>22nd June 2022</w:t>
      </w:r>
    </w:p>
    <w:p w14:paraId="32E44A48" w14:textId="6AEBD3C9" w:rsidR="00013F16" w:rsidRPr="005367AA" w:rsidRDefault="005367AA" w:rsidP="005367AA">
      <w:pPr>
        <w:spacing w:before="340" w:after="340" w:line="240" w:lineRule="auto"/>
        <w:jc w:val="center"/>
        <w:rPr>
          <w:rFonts w:cstheme="minorHAnsi"/>
          <w:b/>
          <w:bCs/>
          <w:sz w:val="28"/>
          <w:szCs w:val="28"/>
        </w:rPr>
      </w:pPr>
      <w:r>
        <w:rPr>
          <w:b/>
          <w:bCs/>
          <w:sz w:val="28"/>
          <w:szCs w:val="28"/>
        </w:rPr>
        <w:t xml:space="preserve">QUANTRON </w:t>
      </w:r>
      <w:r w:rsidR="00B26FBE">
        <w:rPr>
          <w:b/>
          <w:bCs/>
          <w:sz w:val="28"/>
          <w:szCs w:val="28"/>
        </w:rPr>
        <w:t>focuses</w:t>
      </w:r>
      <w:r>
        <w:rPr>
          <w:b/>
          <w:bCs/>
          <w:sz w:val="28"/>
          <w:szCs w:val="28"/>
        </w:rPr>
        <w:t xml:space="preserve"> online sales activities of commercial vehicles with strong partners </w:t>
      </w:r>
    </w:p>
    <w:p w14:paraId="1FD3A2AC" w14:textId="025AA6BA" w:rsidR="00AB5B02" w:rsidRDefault="00474583" w:rsidP="0021450D">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 xml:space="preserve">QUANTRON, known specialist for sustainable mobility concepts and system solutions in the field of passenger and freight transport for electric commercial vehicles in the lightweight sector, has started a collaboration with </w:t>
      </w:r>
      <w:hyperlink r:id="rId11" w:history="1">
        <w:r>
          <w:rPr>
            <w:rStyle w:val="Hyperlink"/>
            <w:rFonts w:asciiTheme="minorHAnsi" w:hAnsiTheme="minorHAnsi"/>
            <w:sz w:val="22"/>
            <w:szCs w:val="22"/>
          </w:rPr>
          <w:t>TruckScout24</w:t>
        </w:r>
      </w:hyperlink>
      <w:r w:rsidR="000238F7">
        <w:rPr>
          <w:rFonts w:asciiTheme="minorHAnsi" w:hAnsiTheme="minorHAnsi"/>
          <w:sz w:val="22"/>
          <w:szCs w:val="22"/>
        </w:rPr>
        <w:t>.</w:t>
      </w:r>
    </w:p>
    <w:p w14:paraId="4D5E572E" w14:textId="5EDE88F9" w:rsidR="0021450D" w:rsidRPr="00931F98" w:rsidRDefault="00AB5B02" w:rsidP="00F408B0">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sz w:val="22"/>
          <w:szCs w:val="22"/>
        </w:rPr>
        <w:t>The first truck to be offered online is the QUANTRON QARGO 4 EV which is now available across Europe via the sales platform</w:t>
      </w:r>
      <w:r w:rsidR="00B0476A">
        <w:rPr>
          <w:rFonts w:asciiTheme="minorHAnsi" w:hAnsiTheme="minorHAnsi"/>
          <w:sz w:val="22"/>
          <w:szCs w:val="22"/>
        </w:rPr>
        <w:t xml:space="preserve"> </w:t>
      </w:r>
      <w:hyperlink r:id="rId12" w:history="1">
        <w:r w:rsidR="00B0476A">
          <w:rPr>
            <w:rStyle w:val="Hyperlink"/>
            <w:rFonts w:asciiTheme="minorHAnsi" w:hAnsiTheme="minorHAnsi"/>
            <w:sz w:val="22"/>
            <w:szCs w:val="22"/>
          </w:rPr>
          <w:t>TruckScout24</w:t>
        </w:r>
      </w:hyperlink>
      <w:r>
        <w:rPr>
          <w:rFonts w:asciiTheme="minorHAnsi" w:hAnsiTheme="minorHAnsi"/>
          <w:sz w:val="22"/>
          <w:szCs w:val="22"/>
        </w:rPr>
        <w:t>.</w:t>
      </w:r>
    </w:p>
    <w:p w14:paraId="63ABE501" w14:textId="4ACC7957" w:rsidR="00931F98" w:rsidRPr="00AB5B02" w:rsidRDefault="00931F98" w:rsidP="00F408B0">
      <w:pPr>
        <w:pStyle w:val="01Flietext"/>
        <w:numPr>
          <w:ilvl w:val="0"/>
          <w:numId w:val="2"/>
        </w:numPr>
        <w:ind w:left="714" w:hanging="357"/>
        <w:contextualSpacing/>
        <w:rPr>
          <w:rFonts w:asciiTheme="minorHAnsi" w:hAnsiTheme="minorHAnsi" w:cstheme="minorHAnsi"/>
          <w:sz w:val="22"/>
          <w:szCs w:val="22"/>
        </w:rPr>
      </w:pPr>
      <w:r w:rsidRPr="00931F98">
        <w:rPr>
          <w:rFonts w:asciiTheme="minorHAnsi" w:hAnsiTheme="minorHAnsi" w:cstheme="minorHAnsi"/>
          <w:sz w:val="22"/>
          <w:szCs w:val="22"/>
        </w:rPr>
        <w:t>The first 50 online buyers of the new QUANTRON QARGO 4 EV will receive a promotional price of 62.900€ plus VAT with a "First Edition" online price discount of 4.000€.</w:t>
      </w:r>
    </w:p>
    <w:p w14:paraId="51CAF347" w14:textId="77777777" w:rsidR="005367AA" w:rsidRDefault="005367AA" w:rsidP="0021450D">
      <w:pPr>
        <w:pStyle w:val="01Flietext"/>
        <w:contextualSpacing/>
        <w:rPr>
          <w:rFonts w:asciiTheme="minorHAnsi" w:hAnsiTheme="minorHAnsi" w:cstheme="minorHAnsi"/>
          <w:sz w:val="22"/>
          <w:szCs w:val="22"/>
        </w:rPr>
      </w:pPr>
    </w:p>
    <w:p w14:paraId="345246C8" w14:textId="0BBB7CE1" w:rsidR="00B32589" w:rsidRDefault="00674C08" w:rsidP="0044640D">
      <w:pPr>
        <w:pStyle w:val="01Flietext"/>
        <w:spacing w:after="240"/>
        <w:rPr>
          <w:rFonts w:asciiTheme="minorHAnsi" w:hAnsiTheme="minorHAnsi"/>
          <w:sz w:val="22"/>
          <w:szCs w:val="22"/>
        </w:rPr>
      </w:pPr>
      <w:r>
        <w:rPr>
          <w:rFonts w:asciiTheme="minorHAnsi" w:hAnsiTheme="minorHAnsi"/>
          <w:sz w:val="22"/>
          <w:szCs w:val="22"/>
        </w:rPr>
        <w:t>Germany</w:t>
      </w:r>
      <w:r w:rsidRPr="00674C08">
        <w:rPr>
          <w:rFonts w:asciiTheme="minorHAnsi" w:hAnsiTheme="minorHAnsi"/>
          <w:sz w:val="22"/>
          <w:szCs w:val="22"/>
        </w:rPr>
        <w:t>-based Quantron AG, a leader in zero-emission transportation solutions for people and goods,</w:t>
      </w:r>
      <w:r w:rsidR="00B31569" w:rsidRPr="00B31569">
        <w:rPr>
          <w:rFonts w:asciiTheme="minorHAnsi" w:hAnsiTheme="minorHAnsi"/>
          <w:sz w:val="22"/>
          <w:szCs w:val="22"/>
        </w:rPr>
        <w:t xml:space="preserve"> focuses on online sales for electric commercial vehicles in the light sector.</w:t>
      </w:r>
      <w:r w:rsidR="00AB5B02">
        <w:rPr>
          <w:rFonts w:asciiTheme="minorHAnsi" w:hAnsiTheme="minorHAnsi"/>
          <w:sz w:val="22"/>
          <w:szCs w:val="22"/>
        </w:rPr>
        <w:t xml:space="preserve"> Up to now, new commercial vehicles have largely been offered and sold to a trade-oriented market via stationary or direct sales, the websites of the respective manufacturers or at special trade fairs. </w:t>
      </w:r>
      <w:r w:rsidR="00B32589" w:rsidRPr="00B32589">
        <w:rPr>
          <w:rFonts w:asciiTheme="minorHAnsi" w:hAnsiTheme="minorHAnsi"/>
          <w:sz w:val="22"/>
          <w:szCs w:val="22"/>
        </w:rPr>
        <w:t>Online platforms have immense potential here.</w:t>
      </w:r>
    </w:p>
    <w:p w14:paraId="7317FBAF" w14:textId="688B87FE" w:rsidR="0044640D" w:rsidRDefault="009D2785" w:rsidP="0044640D">
      <w:pPr>
        <w:pStyle w:val="01Flietext"/>
        <w:spacing w:after="240"/>
        <w:rPr>
          <w:rFonts w:asciiTheme="minorHAnsi" w:hAnsiTheme="minorHAnsi" w:cstheme="minorHAnsi"/>
          <w:sz w:val="22"/>
          <w:szCs w:val="22"/>
        </w:rPr>
      </w:pPr>
      <w:r>
        <w:rPr>
          <w:rFonts w:asciiTheme="minorHAnsi" w:hAnsiTheme="minorHAnsi"/>
          <w:sz w:val="22"/>
          <w:szCs w:val="22"/>
        </w:rPr>
        <w:t xml:space="preserve">As a visionary company in the commercial vehicle scene for battery-electric and hydrogen-powered commercial vehicles, Quantron AG is breaking new ground in </w:t>
      </w:r>
      <w:r w:rsidR="001B3586" w:rsidRPr="001B3586">
        <w:rPr>
          <w:rFonts w:asciiTheme="minorHAnsi" w:hAnsiTheme="minorHAnsi"/>
          <w:sz w:val="22"/>
          <w:szCs w:val="22"/>
        </w:rPr>
        <w:t>the process of selling new vehicles on online platforms</w:t>
      </w:r>
      <w:r>
        <w:rPr>
          <w:rFonts w:asciiTheme="minorHAnsi" w:hAnsiTheme="minorHAnsi"/>
          <w:sz w:val="22"/>
          <w:szCs w:val="22"/>
        </w:rPr>
        <w:t>. For this, the e-mobility company uses the reach of the established commercial vehicle online sales platform, TruckScout24. An important part and prerequisite of this cooperation is that TruckScout24 has set up "Electric Trucks" as a new category and search criterion on its platform.</w:t>
      </w:r>
    </w:p>
    <w:p w14:paraId="6FA6B707" w14:textId="1A69DD1B" w:rsidR="00652247" w:rsidRPr="00A83232" w:rsidRDefault="00A83232" w:rsidP="009E65F2">
      <w:pPr>
        <w:spacing w:after="240" w:line="324" w:lineRule="auto"/>
        <w:rPr>
          <w:rFonts w:ascii="Make It Sans" w:hAnsi="Make It Sans"/>
        </w:rPr>
      </w:pPr>
      <w:r>
        <w:rPr>
          <w:rFonts w:ascii="Make It Sans" w:hAnsi="Make It Sans"/>
        </w:rPr>
        <w:t xml:space="preserve">"We are pleased that QUANTRON is the first European truck manufacturer to offer its new zero-emission vehicles on TruckScout24. In this way, together we can make the commercial vehicle sector more sustainable. Through our Europe-wide leading online marketplace, even more companies are becoming increasingly aware of emission-free commercial vehicles and can simply and easily contact providers such as QUANTRON. We expect that other providers will follow this initiative," </w:t>
      </w:r>
      <w:r>
        <w:t xml:space="preserve">according to Patrick </w:t>
      </w:r>
      <w:proofErr w:type="spellStart"/>
      <w:r>
        <w:t>Ratzke</w:t>
      </w:r>
      <w:proofErr w:type="spellEnd"/>
      <w:r>
        <w:t>, Managing Director of TruckScout24.</w:t>
      </w:r>
    </w:p>
    <w:p w14:paraId="32B64F1A" w14:textId="6A398FAB" w:rsidR="00B505D8" w:rsidRDefault="00B505D8" w:rsidP="0044640D">
      <w:pPr>
        <w:pStyle w:val="01Flietext"/>
        <w:spacing w:after="240"/>
        <w:rPr>
          <w:rFonts w:asciiTheme="minorHAnsi" w:hAnsiTheme="minorHAnsi" w:cstheme="minorHAnsi"/>
          <w:sz w:val="22"/>
          <w:szCs w:val="22"/>
        </w:rPr>
      </w:pPr>
      <w:r>
        <w:rPr>
          <w:rFonts w:asciiTheme="minorHAnsi" w:hAnsiTheme="minorHAnsi"/>
          <w:sz w:val="22"/>
          <w:szCs w:val="22"/>
        </w:rPr>
        <w:lastRenderedPageBreak/>
        <w:t xml:space="preserve">Michael Perschke, CEO of QUANTRON, adds: “We very much want zero-emission commercial vehicles to become the norm. </w:t>
      </w:r>
      <w:proofErr w:type="gramStart"/>
      <w:r>
        <w:rPr>
          <w:rFonts w:asciiTheme="minorHAnsi" w:hAnsiTheme="minorHAnsi"/>
          <w:sz w:val="22"/>
          <w:szCs w:val="22"/>
        </w:rPr>
        <w:t>In order for</w:t>
      </w:r>
      <w:proofErr w:type="gramEnd"/>
      <w:r>
        <w:rPr>
          <w:rFonts w:asciiTheme="minorHAnsi" w:hAnsiTheme="minorHAnsi"/>
          <w:sz w:val="22"/>
          <w:szCs w:val="22"/>
        </w:rPr>
        <w:t xml:space="preserve"> this to happen, however, they must be present for the convenience of the customers, they must be easy to order and with short delivery times. The cooperation with TruckScout24 offers us a Europe-wide reach and we are one of the few providers currently in a position to deliver. Both together should be able to provide a strong impetus for emission-free transport over the last mile.”</w:t>
      </w:r>
    </w:p>
    <w:p w14:paraId="554EFBBA" w14:textId="46BC866A" w:rsidR="00EF619A" w:rsidRDefault="00EF619A" w:rsidP="00E11B9E">
      <w:pPr>
        <w:pStyle w:val="01Flietext"/>
        <w:spacing w:after="240"/>
        <w:rPr>
          <w:rFonts w:asciiTheme="minorHAnsi" w:hAnsiTheme="minorHAnsi" w:cstheme="minorHAnsi"/>
          <w:sz w:val="22"/>
          <w:szCs w:val="22"/>
        </w:rPr>
      </w:pPr>
      <w:r>
        <w:rPr>
          <w:rFonts w:asciiTheme="minorHAnsi" w:hAnsiTheme="minorHAnsi"/>
          <w:sz w:val="22"/>
          <w:szCs w:val="22"/>
        </w:rPr>
        <w:t>Part of the cooperation is also a</w:t>
      </w:r>
      <w:r w:rsidR="002779A7">
        <w:rPr>
          <w:rFonts w:asciiTheme="minorHAnsi" w:hAnsiTheme="minorHAnsi"/>
          <w:sz w:val="22"/>
          <w:szCs w:val="22"/>
        </w:rPr>
        <w:t xml:space="preserve"> limited </w:t>
      </w:r>
      <w:r>
        <w:rPr>
          <w:rFonts w:asciiTheme="minorHAnsi" w:hAnsiTheme="minorHAnsi"/>
          <w:sz w:val="22"/>
          <w:szCs w:val="22"/>
        </w:rPr>
        <w:t xml:space="preserve">offer for the first 50 buyers of the new QUANTRON QARGO 4 EV. They will receive a </w:t>
      </w:r>
      <w:r w:rsidR="005E2DFC">
        <w:rPr>
          <w:rFonts w:asciiTheme="minorHAnsi" w:hAnsiTheme="minorHAnsi"/>
          <w:sz w:val="22"/>
          <w:szCs w:val="22"/>
        </w:rPr>
        <w:t xml:space="preserve">“First Edition” online </w:t>
      </w:r>
      <w:r>
        <w:rPr>
          <w:rFonts w:asciiTheme="minorHAnsi" w:hAnsiTheme="minorHAnsi"/>
          <w:sz w:val="22"/>
          <w:szCs w:val="22"/>
        </w:rPr>
        <w:t>discount of € 4,000 on the official retail price of € 62,900</w:t>
      </w:r>
      <w:r w:rsidR="00876CE2">
        <w:rPr>
          <w:rFonts w:asciiTheme="minorHAnsi" w:hAnsiTheme="minorHAnsi"/>
          <w:sz w:val="22"/>
          <w:szCs w:val="22"/>
        </w:rPr>
        <w:t xml:space="preserve"> plus VAT</w:t>
      </w:r>
      <w:r>
        <w:rPr>
          <w:rFonts w:asciiTheme="minorHAnsi" w:hAnsiTheme="minorHAnsi"/>
          <w:sz w:val="22"/>
          <w:szCs w:val="22"/>
        </w:rPr>
        <w:t>. Delivery time</w:t>
      </w:r>
      <w:r w:rsidR="005E2DFC">
        <w:rPr>
          <w:rFonts w:asciiTheme="minorHAnsi" w:hAnsiTheme="minorHAnsi"/>
          <w:sz w:val="22"/>
          <w:szCs w:val="22"/>
        </w:rPr>
        <w:t xml:space="preserve"> for the vehicle</w:t>
      </w:r>
      <w:r>
        <w:rPr>
          <w:rFonts w:asciiTheme="minorHAnsi" w:hAnsiTheme="minorHAnsi"/>
          <w:sz w:val="22"/>
          <w:szCs w:val="22"/>
        </w:rPr>
        <w:t xml:space="preserve"> is around three months.</w:t>
      </w:r>
    </w:p>
    <w:p w14:paraId="21C89E31" w14:textId="383976DA" w:rsidR="00555238" w:rsidRDefault="00555238" w:rsidP="00E11B9E">
      <w:pPr>
        <w:pStyle w:val="01Flietext"/>
        <w:spacing w:after="240"/>
        <w:rPr>
          <w:rFonts w:asciiTheme="minorHAnsi" w:hAnsiTheme="minorHAnsi" w:cstheme="minorHAnsi"/>
          <w:sz w:val="22"/>
          <w:szCs w:val="22"/>
        </w:rPr>
      </w:pPr>
      <w:r>
        <w:rPr>
          <w:rFonts w:asciiTheme="minorHAnsi" w:hAnsiTheme="minorHAnsi"/>
          <w:sz w:val="22"/>
          <w:szCs w:val="22"/>
        </w:rPr>
        <w:t xml:space="preserve">The QUANTRON QARGO 4 EV is the ideal vehicle for sustainable transport over the last mile. Thanks to the fully electric drive, it is emission-free and extremely quiet on the road which means that inner-city operations are also possible day and night as well as in green environmental zones. The transporter has been tested under real conditions and was able to achieve ranges of up to 300 km. Batteries are supplied by CATL, the world's largest battery manufacturer, and can be fully re-charged in less than two hours. Through the </w:t>
      </w:r>
      <w:proofErr w:type="spellStart"/>
      <w:r>
        <w:rPr>
          <w:rFonts w:asciiTheme="minorHAnsi" w:hAnsiTheme="minorHAnsi"/>
          <w:sz w:val="22"/>
          <w:szCs w:val="22"/>
        </w:rPr>
        <w:t>Alltrucks</w:t>
      </w:r>
      <w:proofErr w:type="spellEnd"/>
      <w:r>
        <w:rPr>
          <w:rFonts w:asciiTheme="minorHAnsi" w:hAnsiTheme="minorHAnsi"/>
          <w:sz w:val="22"/>
          <w:szCs w:val="22"/>
        </w:rPr>
        <w:t xml:space="preserve"> network, QUANTRON also ensures a Europe-wide service for buyers outside of Germany for its vehicles. </w:t>
      </w:r>
    </w:p>
    <w:p w14:paraId="5B60120B" w14:textId="212BBF61" w:rsidR="00AF5D5C" w:rsidRDefault="00555238" w:rsidP="00DC1D62">
      <w:pPr>
        <w:pStyle w:val="01Flietext"/>
        <w:spacing w:after="240"/>
        <w:rPr>
          <w:rFonts w:asciiTheme="minorHAnsi" w:hAnsiTheme="minorHAnsi" w:cstheme="minorHAnsi"/>
          <w:sz w:val="22"/>
          <w:szCs w:val="22"/>
        </w:rPr>
      </w:pPr>
      <w:r>
        <w:rPr>
          <w:rFonts w:asciiTheme="minorHAnsi" w:hAnsiTheme="minorHAnsi"/>
          <w:sz w:val="22"/>
          <w:szCs w:val="22"/>
        </w:rPr>
        <w:t xml:space="preserve">After the market presentation of the vehicle at the end of May 2022 as part of the QUANTRON in-house "Q-Days 2022" show along with trade fair appearances in Munich at the IFAT and Oslo at the International Electric Vehicle Symposium, the spin-off of the renowned Haller KG with more than 140 years of commercial vehicle experience has received numerous enquiries and submitted orders for the vehicle. From this week onwards, it is also available via the leading online platform, TruckScout24. </w:t>
      </w:r>
    </w:p>
    <w:p w14:paraId="757FB287" w14:textId="77777777" w:rsidR="000B0281" w:rsidRDefault="000B0281" w:rsidP="007C0DD9">
      <w:pPr>
        <w:spacing w:after="0" w:line="240" w:lineRule="auto"/>
        <w:ind w:right="597"/>
        <w:rPr>
          <w:rFonts w:cstheme="minorHAnsi"/>
          <w:b/>
          <w:bCs/>
        </w:rPr>
      </w:pPr>
    </w:p>
    <w:p w14:paraId="2AA0F35F" w14:textId="4F6F2232" w:rsidR="007C0DD9" w:rsidRDefault="007C0DD9" w:rsidP="007C0DD9">
      <w:pPr>
        <w:spacing w:after="0" w:line="240" w:lineRule="auto"/>
        <w:ind w:right="597"/>
        <w:rPr>
          <w:rFonts w:cstheme="minorHAnsi"/>
          <w:bCs/>
          <w:sz w:val="16"/>
          <w:szCs w:val="16"/>
        </w:rPr>
      </w:pPr>
      <w:r>
        <w:rPr>
          <w:b/>
          <w:bCs/>
        </w:rPr>
        <w:t>Technical data: QUANTRON QARGO 4 EV</w:t>
      </w:r>
      <w:r>
        <w:t>*</w:t>
      </w:r>
    </w:p>
    <w:tbl>
      <w:tblPr>
        <w:tblpPr w:leftFromText="141" w:rightFromText="141" w:bottomFromText="200" w:vertAnchor="text" w:horzAnchor="margin" w:tblpY="479"/>
        <w:tblW w:w="0" w:type="auto"/>
        <w:tblLayout w:type="fixed"/>
        <w:tblLook w:val="04A0" w:firstRow="1" w:lastRow="0" w:firstColumn="1" w:lastColumn="0" w:noHBand="0" w:noVBand="1"/>
      </w:tblPr>
      <w:tblGrid>
        <w:gridCol w:w="3083"/>
        <w:gridCol w:w="3083"/>
      </w:tblGrid>
      <w:tr w:rsidR="007C0DD9" w14:paraId="45491E52" w14:textId="77777777" w:rsidTr="007C0DD9">
        <w:trPr>
          <w:trHeight w:val="1"/>
        </w:trPr>
        <w:tc>
          <w:tcPr>
            <w:tcW w:w="3083" w:type="dxa"/>
            <w:tcBorders>
              <w:top w:val="nil"/>
              <w:left w:val="nil"/>
              <w:bottom w:val="nil"/>
              <w:right w:val="nil"/>
            </w:tcBorders>
            <w:hideMark/>
          </w:tcPr>
          <w:p w14:paraId="7BA55D7F" w14:textId="77777777" w:rsidR="007C0DD9" w:rsidRDefault="007C0DD9">
            <w:pPr>
              <w:autoSpaceDE w:val="0"/>
              <w:autoSpaceDN w:val="0"/>
              <w:adjustRightInd w:val="0"/>
              <w:spacing w:after="0" w:line="240" w:lineRule="auto"/>
              <w:rPr>
                <w:rFonts w:cstheme="minorHAnsi"/>
                <w:b/>
                <w:bCs/>
              </w:rPr>
            </w:pPr>
            <w:r>
              <w:rPr>
                <w:b/>
                <w:bCs/>
              </w:rPr>
              <w:t>Max. engine performance</w:t>
            </w:r>
          </w:p>
        </w:tc>
        <w:tc>
          <w:tcPr>
            <w:tcW w:w="3083" w:type="dxa"/>
            <w:tcBorders>
              <w:top w:val="nil"/>
              <w:left w:val="nil"/>
              <w:bottom w:val="nil"/>
              <w:right w:val="nil"/>
            </w:tcBorders>
            <w:hideMark/>
          </w:tcPr>
          <w:p w14:paraId="1200D71D" w14:textId="77777777" w:rsidR="007C0DD9" w:rsidRDefault="007C0DD9">
            <w:pPr>
              <w:autoSpaceDE w:val="0"/>
              <w:autoSpaceDN w:val="0"/>
              <w:adjustRightInd w:val="0"/>
              <w:spacing w:after="0" w:line="240" w:lineRule="auto"/>
              <w:rPr>
                <w:rFonts w:cstheme="minorHAnsi"/>
              </w:rPr>
            </w:pPr>
            <w:r>
              <w:t>120 kW</w:t>
            </w:r>
          </w:p>
        </w:tc>
      </w:tr>
      <w:tr w:rsidR="007C0DD9" w14:paraId="23F9FF24" w14:textId="77777777" w:rsidTr="007C0DD9">
        <w:trPr>
          <w:trHeight w:val="4"/>
        </w:trPr>
        <w:tc>
          <w:tcPr>
            <w:tcW w:w="3083" w:type="dxa"/>
            <w:tcBorders>
              <w:top w:val="nil"/>
              <w:left w:val="nil"/>
              <w:bottom w:val="nil"/>
              <w:right w:val="nil"/>
            </w:tcBorders>
            <w:hideMark/>
          </w:tcPr>
          <w:p w14:paraId="211CFEC4" w14:textId="77777777" w:rsidR="007C0DD9" w:rsidRDefault="007C0DD9">
            <w:pPr>
              <w:autoSpaceDE w:val="0"/>
              <w:autoSpaceDN w:val="0"/>
              <w:adjustRightInd w:val="0"/>
              <w:spacing w:after="0" w:line="240" w:lineRule="auto"/>
              <w:rPr>
                <w:rFonts w:cstheme="minorHAnsi"/>
                <w:b/>
                <w:bCs/>
              </w:rPr>
            </w:pPr>
            <w:r>
              <w:rPr>
                <w:b/>
                <w:bCs/>
              </w:rPr>
              <w:t xml:space="preserve">Operating range </w:t>
            </w:r>
          </w:p>
        </w:tc>
        <w:tc>
          <w:tcPr>
            <w:tcW w:w="3083" w:type="dxa"/>
            <w:tcBorders>
              <w:top w:val="nil"/>
              <w:left w:val="nil"/>
              <w:bottom w:val="nil"/>
              <w:right w:val="nil"/>
            </w:tcBorders>
            <w:hideMark/>
          </w:tcPr>
          <w:p w14:paraId="706669E9" w14:textId="17195871" w:rsidR="007C0DD9" w:rsidRDefault="007C0DD9">
            <w:pPr>
              <w:autoSpaceDE w:val="0"/>
              <w:autoSpaceDN w:val="0"/>
              <w:adjustRightInd w:val="0"/>
              <w:spacing w:after="0" w:line="240" w:lineRule="auto"/>
              <w:rPr>
                <w:rFonts w:cstheme="minorHAnsi"/>
              </w:rPr>
            </w:pPr>
            <w:r>
              <w:t>up to 300 km*</w:t>
            </w:r>
          </w:p>
        </w:tc>
      </w:tr>
      <w:tr w:rsidR="007C0DD9" w14:paraId="42D2359F" w14:textId="77777777" w:rsidTr="007C0DD9">
        <w:trPr>
          <w:trHeight w:val="1"/>
        </w:trPr>
        <w:tc>
          <w:tcPr>
            <w:tcW w:w="3083" w:type="dxa"/>
            <w:tcBorders>
              <w:top w:val="nil"/>
              <w:left w:val="nil"/>
              <w:bottom w:val="nil"/>
              <w:right w:val="nil"/>
            </w:tcBorders>
            <w:hideMark/>
          </w:tcPr>
          <w:p w14:paraId="48BDC658" w14:textId="77777777" w:rsidR="007C0DD9" w:rsidRDefault="007C0DD9">
            <w:pPr>
              <w:autoSpaceDE w:val="0"/>
              <w:autoSpaceDN w:val="0"/>
              <w:adjustRightInd w:val="0"/>
              <w:spacing w:after="0" w:line="240" w:lineRule="auto"/>
              <w:rPr>
                <w:rFonts w:cstheme="minorHAnsi"/>
                <w:b/>
                <w:bCs/>
              </w:rPr>
            </w:pPr>
            <w:r>
              <w:rPr>
                <w:b/>
                <w:bCs/>
              </w:rPr>
              <w:t>Battery capacity</w:t>
            </w:r>
          </w:p>
        </w:tc>
        <w:tc>
          <w:tcPr>
            <w:tcW w:w="3083" w:type="dxa"/>
            <w:tcBorders>
              <w:top w:val="nil"/>
              <w:left w:val="nil"/>
              <w:bottom w:val="nil"/>
              <w:right w:val="nil"/>
            </w:tcBorders>
            <w:hideMark/>
          </w:tcPr>
          <w:p w14:paraId="336EF5A3" w14:textId="77777777" w:rsidR="007C0DD9" w:rsidRDefault="007C0DD9">
            <w:pPr>
              <w:autoSpaceDE w:val="0"/>
              <w:autoSpaceDN w:val="0"/>
              <w:adjustRightInd w:val="0"/>
              <w:spacing w:after="0" w:line="240" w:lineRule="auto"/>
              <w:rPr>
                <w:rFonts w:cstheme="minorHAnsi"/>
              </w:rPr>
            </w:pPr>
            <w:r>
              <w:t>81 kWh</w:t>
            </w:r>
          </w:p>
        </w:tc>
      </w:tr>
      <w:tr w:rsidR="007C0DD9" w14:paraId="1C32A6FC" w14:textId="77777777" w:rsidTr="007C0DD9">
        <w:trPr>
          <w:trHeight w:val="4"/>
        </w:trPr>
        <w:tc>
          <w:tcPr>
            <w:tcW w:w="3083" w:type="dxa"/>
            <w:tcBorders>
              <w:top w:val="nil"/>
              <w:left w:val="nil"/>
              <w:bottom w:val="nil"/>
              <w:right w:val="nil"/>
            </w:tcBorders>
            <w:hideMark/>
          </w:tcPr>
          <w:p w14:paraId="155FF293" w14:textId="77777777" w:rsidR="007C0DD9" w:rsidRDefault="007C0DD9">
            <w:pPr>
              <w:autoSpaceDE w:val="0"/>
              <w:autoSpaceDN w:val="0"/>
              <w:adjustRightInd w:val="0"/>
              <w:spacing w:after="0" w:line="240" w:lineRule="auto"/>
              <w:rPr>
                <w:rFonts w:cstheme="minorHAnsi"/>
                <w:b/>
                <w:bCs/>
              </w:rPr>
            </w:pPr>
            <w:r>
              <w:rPr>
                <w:b/>
                <w:bCs/>
              </w:rPr>
              <w:t xml:space="preserve">Charging time (DC) </w:t>
            </w:r>
          </w:p>
          <w:p w14:paraId="1CE9B4C4" w14:textId="77777777" w:rsidR="007C0DD9" w:rsidRDefault="007C0DD9">
            <w:pPr>
              <w:autoSpaceDE w:val="0"/>
              <w:autoSpaceDN w:val="0"/>
              <w:adjustRightInd w:val="0"/>
              <w:spacing w:after="0" w:line="240" w:lineRule="auto"/>
              <w:rPr>
                <w:rFonts w:cstheme="minorHAnsi"/>
                <w:b/>
                <w:bCs/>
              </w:rPr>
            </w:pPr>
            <w:r>
              <w:rPr>
                <w:b/>
                <w:bCs/>
              </w:rPr>
              <w:t>Performance (DC)</w:t>
            </w:r>
          </w:p>
        </w:tc>
        <w:tc>
          <w:tcPr>
            <w:tcW w:w="3083" w:type="dxa"/>
            <w:tcBorders>
              <w:top w:val="nil"/>
              <w:left w:val="nil"/>
              <w:bottom w:val="nil"/>
              <w:right w:val="nil"/>
            </w:tcBorders>
            <w:hideMark/>
          </w:tcPr>
          <w:p w14:paraId="4CC881FE" w14:textId="5AA40C2A" w:rsidR="007C0DD9" w:rsidRDefault="007C0DD9">
            <w:pPr>
              <w:autoSpaceDE w:val="0"/>
              <w:autoSpaceDN w:val="0"/>
              <w:adjustRightInd w:val="0"/>
              <w:spacing w:after="0" w:line="240" w:lineRule="auto"/>
              <w:rPr>
                <w:rFonts w:cstheme="minorHAnsi"/>
              </w:rPr>
            </w:pPr>
            <w:r>
              <w:t>1-2 hours</w:t>
            </w:r>
          </w:p>
          <w:p w14:paraId="432FCF5B" w14:textId="77777777" w:rsidR="007C0DD9" w:rsidRDefault="007C0DD9">
            <w:pPr>
              <w:autoSpaceDE w:val="0"/>
              <w:autoSpaceDN w:val="0"/>
              <w:adjustRightInd w:val="0"/>
              <w:spacing w:after="0" w:line="240" w:lineRule="auto"/>
              <w:rPr>
                <w:rFonts w:cstheme="minorHAnsi"/>
              </w:rPr>
            </w:pPr>
            <w:r>
              <w:t>60 kW</w:t>
            </w:r>
          </w:p>
        </w:tc>
      </w:tr>
      <w:tr w:rsidR="007C0DD9" w14:paraId="36AF12F7" w14:textId="77777777" w:rsidTr="007C0DD9">
        <w:trPr>
          <w:trHeight w:val="1"/>
        </w:trPr>
        <w:tc>
          <w:tcPr>
            <w:tcW w:w="3083" w:type="dxa"/>
            <w:tcBorders>
              <w:top w:val="nil"/>
              <w:left w:val="nil"/>
              <w:bottom w:val="nil"/>
              <w:right w:val="nil"/>
            </w:tcBorders>
            <w:hideMark/>
          </w:tcPr>
          <w:p w14:paraId="5E3CCB9D" w14:textId="77777777" w:rsidR="007C0DD9" w:rsidRDefault="007C0DD9">
            <w:pPr>
              <w:autoSpaceDE w:val="0"/>
              <w:autoSpaceDN w:val="0"/>
              <w:adjustRightInd w:val="0"/>
              <w:spacing w:after="0" w:line="240" w:lineRule="auto"/>
              <w:rPr>
                <w:rFonts w:cstheme="minorHAnsi"/>
                <w:b/>
                <w:bCs/>
              </w:rPr>
            </w:pPr>
            <w:r>
              <w:rPr>
                <w:b/>
                <w:bCs/>
              </w:rPr>
              <w:t>Payload</w:t>
            </w:r>
          </w:p>
        </w:tc>
        <w:tc>
          <w:tcPr>
            <w:tcW w:w="3083" w:type="dxa"/>
            <w:tcBorders>
              <w:top w:val="nil"/>
              <w:left w:val="nil"/>
              <w:bottom w:val="nil"/>
              <w:right w:val="nil"/>
            </w:tcBorders>
            <w:hideMark/>
          </w:tcPr>
          <w:p w14:paraId="5D5C3D78" w14:textId="77777777" w:rsidR="007C0DD9" w:rsidRDefault="007C0DD9">
            <w:pPr>
              <w:autoSpaceDE w:val="0"/>
              <w:autoSpaceDN w:val="0"/>
              <w:adjustRightInd w:val="0"/>
              <w:spacing w:after="0" w:line="240" w:lineRule="auto"/>
              <w:rPr>
                <w:rFonts w:cstheme="minorHAnsi"/>
              </w:rPr>
            </w:pPr>
            <w:r>
              <w:t>2300 kg</w:t>
            </w:r>
          </w:p>
        </w:tc>
      </w:tr>
      <w:tr w:rsidR="007C0DD9" w14:paraId="0F89C368" w14:textId="77777777" w:rsidTr="007C0DD9">
        <w:trPr>
          <w:trHeight w:val="1"/>
        </w:trPr>
        <w:tc>
          <w:tcPr>
            <w:tcW w:w="3083" w:type="dxa"/>
            <w:tcBorders>
              <w:top w:val="nil"/>
              <w:left w:val="nil"/>
              <w:bottom w:val="nil"/>
              <w:right w:val="nil"/>
            </w:tcBorders>
            <w:hideMark/>
          </w:tcPr>
          <w:p w14:paraId="7577568F" w14:textId="77777777" w:rsidR="007C0DD9" w:rsidRDefault="007C0DD9">
            <w:pPr>
              <w:autoSpaceDE w:val="0"/>
              <w:autoSpaceDN w:val="0"/>
              <w:adjustRightInd w:val="0"/>
              <w:spacing w:after="0" w:line="240" w:lineRule="auto"/>
              <w:rPr>
                <w:rFonts w:cstheme="minorHAnsi"/>
                <w:b/>
                <w:bCs/>
              </w:rPr>
            </w:pPr>
            <w:proofErr w:type="gramStart"/>
            <w:r>
              <w:rPr>
                <w:b/>
                <w:bCs/>
              </w:rPr>
              <w:t>Wheel base</w:t>
            </w:r>
            <w:proofErr w:type="gramEnd"/>
          </w:p>
        </w:tc>
        <w:tc>
          <w:tcPr>
            <w:tcW w:w="3083" w:type="dxa"/>
            <w:tcBorders>
              <w:top w:val="nil"/>
              <w:left w:val="nil"/>
              <w:bottom w:val="nil"/>
              <w:right w:val="nil"/>
            </w:tcBorders>
            <w:hideMark/>
          </w:tcPr>
          <w:p w14:paraId="7E409B10" w14:textId="77777777" w:rsidR="007C0DD9" w:rsidRDefault="007C0DD9">
            <w:pPr>
              <w:autoSpaceDE w:val="0"/>
              <w:autoSpaceDN w:val="0"/>
              <w:adjustRightInd w:val="0"/>
              <w:spacing w:after="0" w:line="240" w:lineRule="auto"/>
              <w:rPr>
                <w:rFonts w:cstheme="minorHAnsi"/>
              </w:rPr>
            </w:pPr>
            <w:r>
              <w:t>3300 mm</w:t>
            </w:r>
          </w:p>
        </w:tc>
      </w:tr>
      <w:tr w:rsidR="007C0DD9" w14:paraId="03177581" w14:textId="77777777" w:rsidTr="007C0DD9">
        <w:trPr>
          <w:trHeight w:val="1"/>
        </w:trPr>
        <w:tc>
          <w:tcPr>
            <w:tcW w:w="3083" w:type="dxa"/>
            <w:tcBorders>
              <w:top w:val="nil"/>
              <w:left w:val="nil"/>
              <w:bottom w:val="nil"/>
              <w:right w:val="nil"/>
            </w:tcBorders>
            <w:hideMark/>
          </w:tcPr>
          <w:p w14:paraId="331A135F" w14:textId="77777777" w:rsidR="007C0DD9" w:rsidRDefault="007C0DD9">
            <w:pPr>
              <w:autoSpaceDE w:val="0"/>
              <w:autoSpaceDN w:val="0"/>
              <w:adjustRightInd w:val="0"/>
              <w:spacing w:after="0" w:line="240" w:lineRule="auto"/>
              <w:rPr>
                <w:rFonts w:cstheme="minorHAnsi"/>
                <w:b/>
                <w:bCs/>
              </w:rPr>
            </w:pPr>
            <w:r>
              <w:rPr>
                <w:b/>
                <w:bCs/>
              </w:rPr>
              <w:lastRenderedPageBreak/>
              <w:t>Perm. total weight</w:t>
            </w:r>
          </w:p>
        </w:tc>
        <w:tc>
          <w:tcPr>
            <w:tcW w:w="3083" w:type="dxa"/>
            <w:tcBorders>
              <w:top w:val="nil"/>
              <w:left w:val="nil"/>
              <w:bottom w:val="nil"/>
              <w:right w:val="nil"/>
            </w:tcBorders>
            <w:hideMark/>
          </w:tcPr>
          <w:p w14:paraId="0A65EBE5" w14:textId="77777777" w:rsidR="007C0DD9" w:rsidRDefault="007C0DD9">
            <w:pPr>
              <w:autoSpaceDE w:val="0"/>
              <w:autoSpaceDN w:val="0"/>
              <w:adjustRightInd w:val="0"/>
              <w:spacing w:after="0" w:line="240" w:lineRule="auto"/>
              <w:rPr>
                <w:rFonts w:cstheme="minorHAnsi"/>
              </w:rPr>
            </w:pPr>
            <w:r>
              <w:t>4500 kg</w:t>
            </w:r>
          </w:p>
        </w:tc>
      </w:tr>
    </w:tbl>
    <w:p w14:paraId="46D30D27" w14:textId="77777777" w:rsidR="007C0DD9" w:rsidRDefault="007C0DD9" w:rsidP="007C0DD9">
      <w:pPr>
        <w:spacing w:line="324" w:lineRule="auto"/>
        <w:ind w:right="597"/>
        <w:rPr>
          <w:rFonts w:cstheme="minorHAnsi"/>
          <w:sz w:val="16"/>
          <w:szCs w:val="16"/>
        </w:rPr>
      </w:pPr>
    </w:p>
    <w:p w14:paraId="66636D33" w14:textId="15FCEB5F" w:rsidR="007C0DD9" w:rsidRPr="007C0DD9" w:rsidRDefault="007C0DD9" w:rsidP="007C0DD9">
      <w:pPr>
        <w:spacing w:line="324" w:lineRule="auto"/>
        <w:ind w:right="597"/>
        <w:rPr>
          <w:rFonts w:cstheme="minorHAnsi"/>
          <w:sz w:val="14"/>
          <w:szCs w:val="14"/>
        </w:rPr>
      </w:pPr>
      <w:r>
        <w:rPr>
          <w:sz w:val="14"/>
          <w:szCs w:val="14"/>
        </w:rPr>
        <w:t xml:space="preserve">** All information refers to the </w:t>
      </w:r>
      <w:proofErr w:type="gramStart"/>
      <w:r>
        <w:rPr>
          <w:sz w:val="14"/>
          <w:szCs w:val="14"/>
        </w:rPr>
        <w:t>current status</w:t>
      </w:r>
      <w:proofErr w:type="gramEnd"/>
      <w:r>
        <w:rPr>
          <w:sz w:val="14"/>
          <w:szCs w:val="14"/>
        </w:rPr>
        <w:t xml:space="preserve"> as of June 2022. QUANTRON AG reserves the right to change the technical properties and specifications of its products without prior notice. The operating range was simulated according to WLTP and varies depending on the payload and driving profile. The price only applies to the first fifty vehicles ex-works Augsburg and is </w:t>
      </w:r>
      <w:proofErr w:type="gramStart"/>
      <w:r>
        <w:rPr>
          <w:sz w:val="14"/>
          <w:szCs w:val="14"/>
        </w:rPr>
        <w:t>time-limited</w:t>
      </w:r>
      <w:proofErr w:type="gramEnd"/>
      <w:r>
        <w:rPr>
          <w:sz w:val="14"/>
          <w:szCs w:val="14"/>
        </w:rPr>
        <w:t>.</w:t>
      </w:r>
    </w:p>
    <w:p w14:paraId="7D45B8E7" w14:textId="76D36F4C" w:rsidR="00CE4B64" w:rsidRDefault="00CE4B64" w:rsidP="0021450D">
      <w:pPr>
        <w:pStyle w:val="01Flietext"/>
        <w:rPr>
          <w:rFonts w:asciiTheme="minorHAnsi" w:hAnsiTheme="minorHAnsi" w:cstheme="minorHAnsi"/>
          <w:sz w:val="22"/>
          <w:szCs w:val="22"/>
        </w:rPr>
      </w:pPr>
    </w:p>
    <w:p w14:paraId="21AE9850" w14:textId="070B418F" w:rsidR="008B7AF6" w:rsidRDefault="008B7AF6" w:rsidP="00F63FEA">
      <w:pPr>
        <w:spacing w:line="324" w:lineRule="auto"/>
        <w:ind w:right="597"/>
        <w:rPr>
          <w:rFonts w:cstheme="minorHAnsi"/>
          <w:bCs/>
        </w:rPr>
      </w:pPr>
      <w:r>
        <w:t>Preview photos:</w:t>
      </w:r>
    </w:p>
    <w:p w14:paraId="40AE0149" w14:textId="55DEB1B0" w:rsidR="00E13E09" w:rsidRDefault="00620D80" w:rsidP="00F63FEA">
      <w:pPr>
        <w:spacing w:line="324" w:lineRule="auto"/>
        <w:ind w:right="597"/>
        <w:rPr>
          <w:rFonts w:cstheme="minorHAnsi"/>
          <w:bCs/>
        </w:rPr>
      </w:pPr>
      <w:r w:rsidRPr="00EC4921">
        <w:rPr>
          <w:rFonts w:cstheme="minorHAnsi"/>
          <w:bCs/>
          <w:noProof/>
        </w:rPr>
        <w:drawing>
          <wp:inline distT="0" distB="0" distL="0" distR="0" wp14:anchorId="5B538341" wp14:editId="2DDF380B">
            <wp:extent cx="4623759" cy="4690476"/>
            <wp:effectExtent l="0" t="0" r="571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6668" cy="4693427"/>
                    </a:xfrm>
                    <a:prstGeom prst="rect">
                      <a:avLst/>
                    </a:prstGeom>
                  </pic:spPr>
                </pic:pic>
              </a:graphicData>
            </a:graphic>
          </wp:inline>
        </w:drawing>
      </w:r>
    </w:p>
    <w:p w14:paraId="312772B0" w14:textId="77777777" w:rsidR="00E13E09" w:rsidRDefault="00E13E09" w:rsidP="00F63FEA">
      <w:pPr>
        <w:spacing w:line="324" w:lineRule="auto"/>
        <w:ind w:right="597"/>
        <w:rPr>
          <w:rFonts w:cstheme="minorHAnsi"/>
          <w:bCs/>
        </w:rPr>
      </w:pPr>
    </w:p>
    <w:p w14:paraId="76E22AD1" w14:textId="0A27BA6C" w:rsidR="00F63FEA" w:rsidRPr="00B22998" w:rsidRDefault="00F63FEA" w:rsidP="00F63FEA">
      <w:pPr>
        <w:spacing w:line="324" w:lineRule="auto"/>
        <w:ind w:right="597"/>
        <w:rPr>
          <w:rFonts w:cstheme="minorHAnsi"/>
          <w:b/>
        </w:rPr>
      </w:pPr>
      <w:r>
        <w:lastRenderedPageBreak/>
        <w:t xml:space="preserve">The original photo is available in both low and high resolutions here: </w:t>
      </w:r>
      <w:hyperlink r:id="rId14">
        <w:r>
          <w:rPr>
            <w:rStyle w:val="Hyperlink"/>
          </w:rPr>
          <w:t>Quantron AG press releases</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Pr>
          <w:b/>
        </w:rPr>
        <w:t>Photo captions</w:t>
      </w:r>
    </w:p>
    <w:p w14:paraId="09DEA3DA" w14:textId="7E10A315" w:rsidR="003A1EF1" w:rsidRDefault="00620D80" w:rsidP="003A1EF1">
      <w:pPr>
        <w:spacing w:after="0" w:line="324" w:lineRule="auto"/>
      </w:pPr>
      <w:r w:rsidRPr="00620D80">
        <w:t>The QUANTRON QARGO 4 EV is now available on TruckScout24</w:t>
      </w:r>
    </w:p>
    <w:p w14:paraId="5F4D4D3F" w14:textId="77777777" w:rsidR="00620D80" w:rsidRDefault="00620D80" w:rsidP="003A1EF1">
      <w:pPr>
        <w:spacing w:after="0" w:line="324" w:lineRule="auto"/>
        <w:rPr>
          <w:rFonts w:cstheme="minorHAnsi"/>
        </w:rPr>
      </w:pPr>
    </w:p>
    <w:p w14:paraId="16B283A0" w14:textId="77777777" w:rsidR="008322A9" w:rsidRDefault="008322A9" w:rsidP="003A1EF1">
      <w:pPr>
        <w:spacing w:after="0" w:line="324" w:lineRule="auto"/>
        <w:rPr>
          <w:rFonts w:cstheme="minorHAnsi"/>
        </w:rPr>
      </w:pPr>
    </w:p>
    <w:p w14:paraId="450A0257" w14:textId="77777777" w:rsidR="008322A9" w:rsidRPr="00D44F76" w:rsidRDefault="008322A9" w:rsidP="003A1EF1">
      <w:pPr>
        <w:spacing w:after="0" w:line="324" w:lineRule="auto"/>
        <w:rPr>
          <w:rFonts w:cstheme="minorHAnsi"/>
        </w:rPr>
      </w:pPr>
    </w:p>
    <w:p w14:paraId="7582C671" w14:textId="77777777" w:rsidR="00824FA5" w:rsidRPr="007413C9" w:rsidRDefault="00824FA5" w:rsidP="00824FA5">
      <w:pPr>
        <w:spacing w:after="120"/>
        <w:rPr>
          <w:b/>
          <w:bCs/>
          <w:i/>
          <w:iCs/>
          <w:strike/>
          <w:sz w:val="20"/>
          <w:szCs w:val="20"/>
        </w:rPr>
      </w:pPr>
      <w:r>
        <w:rPr>
          <w:b/>
          <w:bCs/>
          <w:i/>
          <w:iCs/>
          <w:sz w:val="20"/>
          <w:szCs w:val="20"/>
        </w:rPr>
        <w:t>About Quantron AG</w:t>
      </w:r>
    </w:p>
    <w:p w14:paraId="3503E02D" w14:textId="77777777" w:rsidR="00824FA5" w:rsidRPr="007413C9" w:rsidRDefault="00824FA5" w:rsidP="00824FA5">
      <w:pPr>
        <w:spacing w:line="324" w:lineRule="auto"/>
        <w:jc w:val="both"/>
        <w:rPr>
          <w:i/>
          <w:iCs/>
          <w:sz w:val="20"/>
          <w:szCs w:val="20"/>
        </w:rPr>
      </w:pPr>
      <w:r>
        <w:rPr>
          <w:i/>
          <w:iCs/>
          <w:sz w:val="20"/>
          <w:szCs w:val="20"/>
        </w:rPr>
        <w:t xml:space="preserve">Quantron AG is a system provider of sustainable battery-electric and hydrogen-electric e-mobility for commercial vehicles such as trucks, </w:t>
      </w:r>
      <w:proofErr w:type="gramStart"/>
      <w:r>
        <w:rPr>
          <w:i/>
          <w:iCs/>
          <w:sz w:val="20"/>
          <w:szCs w:val="20"/>
        </w:rPr>
        <w:t>buses</w:t>
      </w:r>
      <w:proofErr w:type="gramEnd"/>
      <w:r>
        <w:rPr>
          <w:i/>
          <w:iCs/>
          <w:sz w:val="20"/>
          <w:szCs w:val="20"/>
        </w:rPr>
        <w:t xml:space="preserve"> and vans. The wide range of services is based on the two business units Q-Retrofit (electrification of used and existing vehicles from diesel to zero-emission electric drive) and Q-Mobility (OEM for own zero-emission QUANTRON vehicles). With the Quantron-as-a-Service Ecosystem (</w:t>
      </w:r>
      <w:proofErr w:type="spellStart"/>
      <w:r>
        <w:rPr>
          <w:i/>
          <w:iCs/>
          <w:sz w:val="20"/>
          <w:szCs w:val="20"/>
        </w:rPr>
        <w:t>QaaS</w:t>
      </w:r>
      <w:proofErr w:type="spellEnd"/>
      <w:r>
        <w:rPr>
          <w:i/>
          <w:iCs/>
          <w:sz w:val="20"/>
          <w:szCs w:val="20"/>
        </w:rPr>
        <w:t xml:space="preserve">), Quantron AG also offers an overall concept for zero-emission mobility. This includes the creation of individual overall concepts including customised charging solutions, hydrogen refuelling station infrastructure, as well as rental, financing and leasing offers as well as training courses and workshops in the QUANTRON Academy. The e-mobility pioneers also sell batteries and integrated customized electrification concepts to manufacturers of commercial vehicles, </w:t>
      </w:r>
      <w:proofErr w:type="gramStart"/>
      <w:r>
        <w:rPr>
          <w:i/>
          <w:iCs/>
          <w:sz w:val="20"/>
          <w:szCs w:val="20"/>
        </w:rPr>
        <w:t>machinery</w:t>
      </w:r>
      <w:proofErr w:type="gramEnd"/>
      <w:r>
        <w:rPr>
          <w:i/>
          <w:iCs/>
          <w:sz w:val="20"/>
          <w:szCs w:val="20"/>
        </w:rPr>
        <w:t xml:space="preserve"> and intralogistics vehicles. The German company from Augsburg in Bavaria has a network of 700 service partners and the extensive knowledge of qualified experts in the fields of power electronics and battery technology. As a high-tech spinoff of the renowned Haller KG, it combines over 140 years of commercial vehicle experience with state-of-the-art e-mobility know-how. </w:t>
      </w:r>
    </w:p>
    <w:p w14:paraId="70BBF363" w14:textId="77777777" w:rsidR="00824FA5" w:rsidRDefault="00824FA5" w:rsidP="00824FA5">
      <w:pPr>
        <w:spacing w:line="324" w:lineRule="auto"/>
        <w:jc w:val="both"/>
        <w:rPr>
          <w:i/>
          <w:iCs/>
          <w:sz w:val="20"/>
          <w:szCs w:val="20"/>
        </w:rPr>
      </w:pPr>
      <w:r>
        <w:rPr>
          <w:i/>
          <w:iCs/>
          <w:sz w:val="20"/>
          <w:szCs w:val="20"/>
        </w:rPr>
        <w:t xml:space="preserve">QUANTRON stands for the core values RELIABLE, ENERGETIC, </w:t>
      </w:r>
      <w:proofErr w:type="gramStart"/>
      <w:r>
        <w:rPr>
          <w:i/>
          <w:iCs/>
          <w:sz w:val="20"/>
          <w:szCs w:val="20"/>
        </w:rPr>
        <w:t>BRAVE .</w:t>
      </w:r>
      <w:proofErr w:type="gramEnd"/>
      <w:r>
        <w:rPr>
          <w:i/>
          <w:iCs/>
          <w:sz w:val="20"/>
          <w:szCs w:val="20"/>
        </w:rPr>
        <w:t xml:space="preserve"> The team of experts at the innovation driver for e-mobility is making a significant contribution to sustainable, environmentally friendly passenger and freight transport. More </w:t>
      </w:r>
      <w:proofErr w:type="spellStart"/>
      <w:r>
        <w:rPr>
          <w:i/>
          <w:iCs/>
          <w:sz w:val="20"/>
          <w:szCs w:val="20"/>
        </w:rPr>
        <w:t>informationen</w:t>
      </w:r>
      <w:proofErr w:type="spellEnd"/>
      <w:r>
        <w:rPr>
          <w:i/>
          <w:iCs/>
          <w:sz w:val="20"/>
          <w:szCs w:val="20"/>
        </w:rPr>
        <w:t xml:space="preserve"> available at </w:t>
      </w:r>
      <w:hyperlink r:id="rId15" w:history="1">
        <w:r>
          <w:rPr>
            <w:rStyle w:val="Hyperlink"/>
            <w:i/>
            <w:iCs/>
            <w:sz w:val="20"/>
            <w:szCs w:val="20"/>
          </w:rPr>
          <w:t>www.quantron.net</w:t>
        </w:r>
      </w:hyperlink>
    </w:p>
    <w:p w14:paraId="12CB81A0" w14:textId="2F41F41B" w:rsidR="003A1EF1" w:rsidRPr="00F6765B" w:rsidRDefault="00824FA5" w:rsidP="003A1EF1">
      <w:pPr>
        <w:rPr>
          <w:i/>
          <w:iCs/>
          <w:sz w:val="20"/>
          <w:szCs w:val="20"/>
        </w:rPr>
      </w:pPr>
      <w:r>
        <w:rPr>
          <w:i/>
          <w:iCs/>
          <w:sz w:val="20"/>
          <w:szCs w:val="20"/>
        </w:rPr>
        <w:t xml:space="preserve">Visit Quantron AG on our social media channels </w:t>
      </w:r>
      <w:proofErr w:type="spellStart"/>
      <w:r>
        <w:rPr>
          <w:i/>
          <w:iCs/>
          <w:sz w:val="20"/>
          <w:szCs w:val="20"/>
        </w:rPr>
        <w:t>on</w:t>
      </w:r>
      <w:hyperlink r:id="rId16" w:history="1">
        <w:r>
          <w:rPr>
            <w:rStyle w:val="Hyperlink"/>
            <w:i/>
            <w:iCs/>
            <w:sz w:val="20"/>
            <w:szCs w:val="20"/>
          </w:rPr>
          <w:t>LinkedIn</w:t>
        </w:r>
        <w:proofErr w:type="spellEnd"/>
      </w:hyperlink>
      <w:r>
        <w:rPr>
          <w:i/>
          <w:iCs/>
          <w:sz w:val="20"/>
          <w:szCs w:val="20"/>
        </w:rPr>
        <w:t xml:space="preserve"> and </w:t>
      </w:r>
      <w:hyperlink r:id="rId17" w:history="1">
        <w:r>
          <w:rPr>
            <w:rStyle w:val="Hyperlink"/>
            <w:i/>
            <w:iCs/>
            <w:sz w:val="20"/>
            <w:szCs w:val="20"/>
          </w:rPr>
          <w:t>YouTube</w:t>
        </w:r>
      </w:hyperlink>
      <w:r>
        <w:rPr>
          <w:i/>
          <w:iCs/>
          <w:sz w:val="20"/>
          <w:szCs w:val="20"/>
        </w:rPr>
        <w:t>.</w:t>
      </w:r>
      <w:r>
        <w:rPr>
          <w:i/>
          <w:iCs/>
          <w:sz w:val="20"/>
          <w:szCs w:val="20"/>
        </w:rPr>
        <w:br/>
      </w:r>
    </w:p>
    <w:p w14:paraId="243880DD" w14:textId="77777777" w:rsidR="003A1EF1" w:rsidRPr="0060054B" w:rsidRDefault="003A1EF1" w:rsidP="003A1EF1">
      <w:pPr>
        <w:spacing w:after="0" w:line="324" w:lineRule="auto"/>
        <w:rPr>
          <w:rFonts w:cstheme="minorHAnsi"/>
          <w:b/>
        </w:rPr>
      </w:pPr>
      <w:r>
        <w:rPr>
          <w:b/>
          <w:bCs/>
        </w:rPr>
        <w:t xml:space="preserve">Contact persons: </w:t>
      </w:r>
    </w:p>
    <w:p w14:paraId="50BE927F" w14:textId="6A7F8128" w:rsidR="0026162A" w:rsidRPr="00607A68" w:rsidRDefault="003A1EF1" w:rsidP="00A63031">
      <w:pPr>
        <w:contextualSpacing/>
      </w:pPr>
      <w:r>
        <w:t xml:space="preserve">Martin Lischka, Head of Marketing &amp; Communications Quantron AG, </w:t>
      </w:r>
      <w:hyperlink r:id="rId18" w:history="1">
        <w:r>
          <w:rPr>
            <w:rStyle w:val="Hyperlink"/>
          </w:rPr>
          <w:t>m.lischka@quantron.net</w:t>
        </w:r>
      </w:hyperlink>
      <w:r>
        <w:br/>
        <w:t xml:space="preserve">Stephanie Miller, Marketing &amp; Communications Quantron AG, </w:t>
      </w:r>
      <w:hyperlink r:id="rId19" w:history="1">
        <w:r>
          <w:rPr>
            <w:rStyle w:val="Hyperlink"/>
          </w:rPr>
          <w:t>presse@quantron.net</w:t>
        </w:r>
      </w:hyperlink>
    </w:p>
    <w:sectPr w:rsidR="0026162A" w:rsidRPr="00607A68" w:rsidSect="007E6A5C">
      <w:headerReference w:type="default" r:id="rId20"/>
      <w:footerReference w:type="defaul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E568D" w14:textId="77777777" w:rsidR="001542F2" w:rsidRDefault="001542F2" w:rsidP="00AE78E4">
      <w:pPr>
        <w:spacing w:after="0" w:line="240" w:lineRule="auto"/>
      </w:pPr>
      <w:r>
        <w:separator/>
      </w:r>
    </w:p>
  </w:endnote>
  <w:endnote w:type="continuationSeparator" w:id="0">
    <w:p w14:paraId="749010CE" w14:textId="77777777" w:rsidR="001542F2" w:rsidRDefault="001542F2" w:rsidP="00AE78E4">
      <w:pPr>
        <w:spacing w:after="0" w:line="240" w:lineRule="auto"/>
      </w:pPr>
      <w:r>
        <w:continuationSeparator/>
      </w:r>
    </w:p>
  </w:endnote>
  <w:endnote w:type="continuationNotice" w:id="1">
    <w:p w14:paraId="4E04E461" w14:textId="77777777" w:rsidR="001542F2" w:rsidRDefault="001542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ake It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620D80" w:rsidRDefault="000944FD" w:rsidP="001A0965">
    <w:pPr>
      <w:pStyle w:val="Fuzeile"/>
      <w:rPr>
        <w:b/>
        <w:color w:val="595959" w:themeColor="text1" w:themeTint="A6"/>
        <w:sz w:val="20"/>
        <w:szCs w:val="20"/>
        <w:lang w:val="de-DE"/>
      </w:rPr>
    </w:pPr>
    <w:r w:rsidRPr="00620D80">
      <w:rPr>
        <w:b/>
        <w:bCs/>
        <w:sz w:val="20"/>
        <w:szCs w:val="20"/>
        <w:lang w:val="de-DE"/>
      </w:rPr>
      <w:t>Quantron AG</w:t>
    </w:r>
  </w:p>
  <w:p w14:paraId="6E6B60D9" w14:textId="77777777" w:rsidR="002D0904" w:rsidRPr="00620D80" w:rsidRDefault="002D0904" w:rsidP="001A0965">
    <w:pPr>
      <w:pStyle w:val="Fuzeile"/>
      <w:rPr>
        <w:color w:val="595959" w:themeColor="text1" w:themeTint="A6"/>
        <w:sz w:val="20"/>
        <w:lang w:val="de-DE"/>
      </w:rPr>
    </w:pPr>
    <w:r w:rsidRPr="00620D80">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1860B8B8"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color w:val="0971B7"/>
                              <w:sz w:val="16"/>
                              <w:szCs w:val="16"/>
                            </w:rPr>
                            <w:t>2</w:t>
                          </w:r>
                          <w:r w:rsidR="00475C54" w:rsidRPr="00790717">
                            <w:rPr>
                              <w:bCs/>
                              <w:color w:val="0971B7"/>
                              <w:sz w:val="16"/>
                              <w:szCs w:val="16"/>
                            </w:rPr>
                            <w:fldChar w:fldCharType="end"/>
                          </w:r>
                          <w:r>
                            <w:rPr>
                              <w:color w:val="0971B7"/>
                              <w:sz w:val="16"/>
                              <w:szCs w:val="16"/>
                            </w:rPr>
                            <w:t xml:space="preserve"> of </w:t>
                          </w:r>
                          <w:r w:rsidR="008322A9">
                            <w:rPr>
                              <w:color w:val="0971B7"/>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1860B8B8"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color w:val="0971B7"/>
                        <w:sz w:val="16"/>
                        <w:szCs w:val="16"/>
                      </w:rPr>
                      <w:t>2</w:t>
                    </w:r>
                    <w:r w:rsidR="00475C54" w:rsidRPr="00790717">
                      <w:rPr>
                        <w:bCs/>
                        <w:color w:val="0971B7"/>
                        <w:sz w:val="16"/>
                        <w:szCs w:val="16"/>
                      </w:rPr>
                      <w:fldChar w:fldCharType="end"/>
                    </w:r>
                    <w:r>
                      <w:rPr>
                        <w:color w:val="0971B7"/>
                        <w:sz w:val="16"/>
                        <w:szCs w:val="16"/>
                      </w:rPr>
                      <w:t xml:space="preserve"> of </w:t>
                    </w:r>
                    <w:r w:rsidR="008322A9">
                      <w:rPr>
                        <w:color w:val="0971B7"/>
                        <w:sz w:val="16"/>
                        <w:szCs w:val="16"/>
                      </w:rPr>
                      <w:t>4</w:t>
                    </w:r>
                  </w:p>
                </w:txbxContent>
              </v:textbox>
              <w10:wrap type="square"/>
            </v:shape>
          </w:pict>
        </mc:Fallback>
      </mc:AlternateContent>
    </w:r>
    <w:r>
      <w:rPr>
        <w:noProof/>
        <w:color w:val="595959" w:themeColor="text1" w:themeTint="A6"/>
        <w:sz w:val="20"/>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77777777"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28DB" w14:textId="77777777" w:rsidR="001542F2" w:rsidRDefault="001542F2" w:rsidP="00AE78E4">
      <w:pPr>
        <w:spacing w:after="0" w:line="240" w:lineRule="auto"/>
      </w:pPr>
      <w:r>
        <w:separator/>
      </w:r>
    </w:p>
  </w:footnote>
  <w:footnote w:type="continuationSeparator" w:id="0">
    <w:p w14:paraId="304C030A" w14:textId="77777777" w:rsidR="001542F2" w:rsidRDefault="001542F2" w:rsidP="00AE78E4">
      <w:pPr>
        <w:spacing w:after="0" w:line="240" w:lineRule="auto"/>
      </w:pPr>
      <w:r>
        <w:continuationSeparator/>
      </w:r>
    </w:p>
  </w:footnote>
  <w:footnote w:type="continuationNotice" w:id="1">
    <w:p w14:paraId="530CB632" w14:textId="77777777" w:rsidR="001542F2" w:rsidRDefault="001542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329D85A8" w:rsidR="00AE78E4" w:rsidRDefault="00090EF8" w:rsidP="001A0965">
    <w:pPr>
      <w:pStyle w:val="Kopfzeile"/>
    </w:pPr>
    <w:r>
      <w:rPr>
        <w:noProof/>
      </w:rPr>
      <w:drawing>
        <wp:anchor distT="0" distB="0" distL="114300" distR="114300" simplePos="0" relativeHeight="251660289" behindDoc="0" locked="0" layoutInCell="1" allowOverlap="1" wp14:anchorId="601D4AAE" wp14:editId="71130F01">
          <wp:simplePos x="0" y="0"/>
          <wp:positionH relativeFrom="page">
            <wp:align>right</wp:align>
          </wp:positionH>
          <wp:positionV relativeFrom="paragraph">
            <wp:posOffset>-211626</wp:posOffset>
          </wp:positionV>
          <wp:extent cx="7566660" cy="1280795"/>
          <wp:effectExtent l="0" t="0" r="0"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6660" cy="1280795"/>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B2632"/>
    <w:multiLevelType w:val="hybridMultilevel"/>
    <w:tmpl w:val="E1702A04"/>
    <w:lvl w:ilvl="0" w:tplc="747ACE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33214B"/>
    <w:multiLevelType w:val="hybridMultilevel"/>
    <w:tmpl w:val="F68E69CA"/>
    <w:lvl w:ilvl="0" w:tplc="02863C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96031B"/>
    <w:multiLevelType w:val="hybridMultilevel"/>
    <w:tmpl w:val="0BFC1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4"/>
  </w:num>
  <w:num w:numId="2" w16cid:durableId="1015308933">
    <w:abstractNumId w:val="3"/>
  </w:num>
  <w:num w:numId="3" w16cid:durableId="93600552">
    <w:abstractNumId w:val="2"/>
  </w:num>
  <w:num w:numId="4" w16cid:durableId="1775859095">
    <w:abstractNumId w:val="1"/>
  </w:num>
  <w:num w:numId="5" w16cid:durableId="1533104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1819"/>
    <w:rsid w:val="00013F16"/>
    <w:rsid w:val="000238F7"/>
    <w:rsid w:val="00025DED"/>
    <w:rsid w:val="0003259C"/>
    <w:rsid w:val="00033341"/>
    <w:rsid w:val="00035FFF"/>
    <w:rsid w:val="000371E5"/>
    <w:rsid w:val="0004014A"/>
    <w:rsid w:val="00054DE0"/>
    <w:rsid w:val="00090EF8"/>
    <w:rsid w:val="000928E5"/>
    <w:rsid w:val="000944FD"/>
    <w:rsid w:val="000B0281"/>
    <w:rsid w:val="000B0EAF"/>
    <w:rsid w:val="000C6948"/>
    <w:rsid w:val="000C71F9"/>
    <w:rsid w:val="000E663C"/>
    <w:rsid w:val="000F568E"/>
    <w:rsid w:val="00113E8F"/>
    <w:rsid w:val="00127A4B"/>
    <w:rsid w:val="001360C7"/>
    <w:rsid w:val="00137966"/>
    <w:rsid w:val="001417A9"/>
    <w:rsid w:val="0014683D"/>
    <w:rsid w:val="00150D45"/>
    <w:rsid w:val="001536A5"/>
    <w:rsid w:val="001542F2"/>
    <w:rsid w:val="00154823"/>
    <w:rsid w:val="0016309B"/>
    <w:rsid w:val="00164AA4"/>
    <w:rsid w:val="00182B88"/>
    <w:rsid w:val="001875DD"/>
    <w:rsid w:val="00194CF4"/>
    <w:rsid w:val="00195C88"/>
    <w:rsid w:val="001A0965"/>
    <w:rsid w:val="001A1178"/>
    <w:rsid w:val="001A52B1"/>
    <w:rsid w:val="001B3586"/>
    <w:rsid w:val="001B63EE"/>
    <w:rsid w:val="001C3B18"/>
    <w:rsid w:val="001C786E"/>
    <w:rsid w:val="001D75BD"/>
    <w:rsid w:val="001E16CA"/>
    <w:rsid w:val="001E1C2B"/>
    <w:rsid w:val="001E3047"/>
    <w:rsid w:val="001E3A17"/>
    <w:rsid w:val="001F3857"/>
    <w:rsid w:val="001F5403"/>
    <w:rsid w:val="0021450D"/>
    <w:rsid w:val="00217303"/>
    <w:rsid w:val="00220714"/>
    <w:rsid w:val="00221D25"/>
    <w:rsid w:val="0022565D"/>
    <w:rsid w:val="002353A6"/>
    <w:rsid w:val="0024135C"/>
    <w:rsid w:val="002420DE"/>
    <w:rsid w:val="0025057D"/>
    <w:rsid w:val="0025461D"/>
    <w:rsid w:val="0026162A"/>
    <w:rsid w:val="00262DBB"/>
    <w:rsid w:val="00267DB4"/>
    <w:rsid w:val="00273889"/>
    <w:rsid w:val="00275C5D"/>
    <w:rsid w:val="00276A76"/>
    <w:rsid w:val="00277052"/>
    <w:rsid w:val="002779A7"/>
    <w:rsid w:val="00293139"/>
    <w:rsid w:val="002975E2"/>
    <w:rsid w:val="002B310C"/>
    <w:rsid w:val="002C64E1"/>
    <w:rsid w:val="002C7249"/>
    <w:rsid w:val="002D0904"/>
    <w:rsid w:val="002D32F9"/>
    <w:rsid w:val="002E51EA"/>
    <w:rsid w:val="002F397F"/>
    <w:rsid w:val="002F54A6"/>
    <w:rsid w:val="002F5AE4"/>
    <w:rsid w:val="002F7680"/>
    <w:rsid w:val="00312572"/>
    <w:rsid w:val="003172FA"/>
    <w:rsid w:val="00320FE3"/>
    <w:rsid w:val="00360B07"/>
    <w:rsid w:val="0036362A"/>
    <w:rsid w:val="00370BC2"/>
    <w:rsid w:val="0037303E"/>
    <w:rsid w:val="00377865"/>
    <w:rsid w:val="003824EA"/>
    <w:rsid w:val="00397835"/>
    <w:rsid w:val="003A1EF1"/>
    <w:rsid w:val="003B237E"/>
    <w:rsid w:val="003C0947"/>
    <w:rsid w:val="003C0EF8"/>
    <w:rsid w:val="003C26AE"/>
    <w:rsid w:val="003C6BB1"/>
    <w:rsid w:val="003D4060"/>
    <w:rsid w:val="003E0B1D"/>
    <w:rsid w:val="003E700E"/>
    <w:rsid w:val="003F1AAC"/>
    <w:rsid w:val="003F6267"/>
    <w:rsid w:val="003F63B3"/>
    <w:rsid w:val="00400FD2"/>
    <w:rsid w:val="00401889"/>
    <w:rsid w:val="00436591"/>
    <w:rsid w:val="0044640D"/>
    <w:rsid w:val="004610D8"/>
    <w:rsid w:val="00473615"/>
    <w:rsid w:val="00474583"/>
    <w:rsid w:val="00475C54"/>
    <w:rsid w:val="0048625B"/>
    <w:rsid w:val="004954AD"/>
    <w:rsid w:val="00497B37"/>
    <w:rsid w:val="004A2B2D"/>
    <w:rsid w:val="004B32B0"/>
    <w:rsid w:val="004B3DD1"/>
    <w:rsid w:val="004E1467"/>
    <w:rsid w:val="005012F4"/>
    <w:rsid w:val="00504F1D"/>
    <w:rsid w:val="00515CF1"/>
    <w:rsid w:val="005240B0"/>
    <w:rsid w:val="005248CC"/>
    <w:rsid w:val="0052668B"/>
    <w:rsid w:val="0053512B"/>
    <w:rsid w:val="00536239"/>
    <w:rsid w:val="005367AA"/>
    <w:rsid w:val="0055248F"/>
    <w:rsid w:val="005546AA"/>
    <w:rsid w:val="00555238"/>
    <w:rsid w:val="0056386B"/>
    <w:rsid w:val="00565F8D"/>
    <w:rsid w:val="0057499D"/>
    <w:rsid w:val="00576A09"/>
    <w:rsid w:val="00592440"/>
    <w:rsid w:val="005A4654"/>
    <w:rsid w:val="005A7186"/>
    <w:rsid w:val="005D2334"/>
    <w:rsid w:val="005D2817"/>
    <w:rsid w:val="005E2014"/>
    <w:rsid w:val="005E2DFC"/>
    <w:rsid w:val="00607A68"/>
    <w:rsid w:val="00620D80"/>
    <w:rsid w:val="0062127F"/>
    <w:rsid w:val="006369DD"/>
    <w:rsid w:val="00652247"/>
    <w:rsid w:val="00657131"/>
    <w:rsid w:val="00661033"/>
    <w:rsid w:val="00671A6F"/>
    <w:rsid w:val="00674C08"/>
    <w:rsid w:val="0069112E"/>
    <w:rsid w:val="006A418C"/>
    <w:rsid w:val="006B0E2C"/>
    <w:rsid w:val="006B7543"/>
    <w:rsid w:val="006C35E2"/>
    <w:rsid w:val="006C39BC"/>
    <w:rsid w:val="006E5767"/>
    <w:rsid w:val="006F1B77"/>
    <w:rsid w:val="006F5629"/>
    <w:rsid w:val="007006B0"/>
    <w:rsid w:val="007040D8"/>
    <w:rsid w:val="00705344"/>
    <w:rsid w:val="007059E0"/>
    <w:rsid w:val="007137AB"/>
    <w:rsid w:val="0071558E"/>
    <w:rsid w:val="0071627E"/>
    <w:rsid w:val="00735D84"/>
    <w:rsid w:val="0074160C"/>
    <w:rsid w:val="00745FEA"/>
    <w:rsid w:val="00754015"/>
    <w:rsid w:val="007628A4"/>
    <w:rsid w:val="00765BB9"/>
    <w:rsid w:val="00775363"/>
    <w:rsid w:val="00776D92"/>
    <w:rsid w:val="0078500E"/>
    <w:rsid w:val="00790717"/>
    <w:rsid w:val="007B29FD"/>
    <w:rsid w:val="007B31E6"/>
    <w:rsid w:val="007C0DD9"/>
    <w:rsid w:val="007D27BB"/>
    <w:rsid w:val="007D2FC7"/>
    <w:rsid w:val="007E37C8"/>
    <w:rsid w:val="007E520B"/>
    <w:rsid w:val="007E5F19"/>
    <w:rsid w:val="007E6A5C"/>
    <w:rsid w:val="007F3AB0"/>
    <w:rsid w:val="00800482"/>
    <w:rsid w:val="008103CB"/>
    <w:rsid w:val="00811A60"/>
    <w:rsid w:val="00815664"/>
    <w:rsid w:val="00816363"/>
    <w:rsid w:val="00824FA5"/>
    <w:rsid w:val="008269B4"/>
    <w:rsid w:val="00830C0E"/>
    <w:rsid w:val="008322A9"/>
    <w:rsid w:val="00844A23"/>
    <w:rsid w:val="00844DA6"/>
    <w:rsid w:val="00846EF3"/>
    <w:rsid w:val="00851F4C"/>
    <w:rsid w:val="0085284F"/>
    <w:rsid w:val="00863593"/>
    <w:rsid w:val="00876CE2"/>
    <w:rsid w:val="008838EC"/>
    <w:rsid w:val="00890621"/>
    <w:rsid w:val="008A116F"/>
    <w:rsid w:val="008A41D6"/>
    <w:rsid w:val="008B421F"/>
    <w:rsid w:val="008B735F"/>
    <w:rsid w:val="008B7AF6"/>
    <w:rsid w:val="008B7FA8"/>
    <w:rsid w:val="008C67F0"/>
    <w:rsid w:val="008D4615"/>
    <w:rsid w:val="008E251B"/>
    <w:rsid w:val="008E51D6"/>
    <w:rsid w:val="008F514A"/>
    <w:rsid w:val="009004C8"/>
    <w:rsid w:val="009071ED"/>
    <w:rsid w:val="009138CA"/>
    <w:rsid w:val="009248EA"/>
    <w:rsid w:val="009260C6"/>
    <w:rsid w:val="00931F98"/>
    <w:rsid w:val="00936FB5"/>
    <w:rsid w:val="00940AEE"/>
    <w:rsid w:val="00944B0D"/>
    <w:rsid w:val="0095483E"/>
    <w:rsid w:val="009556C6"/>
    <w:rsid w:val="0096507B"/>
    <w:rsid w:val="00975CF3"/>
    <w:rsid w:val="00995998"/>
    <w:rsid w:val="009A0F57"/>
    <w:rsid w:val="009A527F"/>
    <w:rsid w:val="009C434C"/>
    <w:rsid w:val="009D2785"/>
    <w:rsid w:val="009E0BC2"/>
    <w:rsid w:val="009E2573"/>
    <w:rsid w:val="009E65F2"/>
    <w:rsid w:val="00A055C7"/>
    <w:rsid w:val="00A1262D"/>
    <w:rsid w:val="00A12F98"/>
    <w:rsid w:val="00A170CF"/>
    <w:rsid w:val="00A174B8"/>
    <w:rsid w:val="00A33EEB"/>
    <w:rsid w:val="00A41861"/>
    <w:rsid w:val="00A45115"/>
    <w:rsid w:val="00A459AF"/>
    <w:rsid w:val="00A51E69"/>
    <w:rsid w:val="00A53D29"/>
    <w:rsid w:val="00A5551E"/>
    <w:rsid w:val="00A5640A"/>
    <w:rsid w:val="00A56BC8"/>
    <w:rsid w:val="00A60ED5"/>
    <w:rsid w:val="00A63031"/>
    <w:rsid w:val="00A80F21"/>
    <w:rsid w:val="00A83232"/>
    <w:rsid w:val="00A83308"/>
    <w:rsid w:val="00A93094"/>
    <w:rsid w:val="00A939FD"/>
    <w:rsid w:val="00A94CE4"/>
    <w:rsid w:val="00A9587D"/>
    <w:rsid w:val="00A9700E"/>
    <w:rsid w:val="00AA5B99"/>
    <w:rsid w:val="00AB5B02"/>
    <w:rsid w:val="00AC16A4"/>
    <w:rsid w:val="00AD2376"/>
    <w:rsid w:val="00AE78E4"/>
    <w:rsid w:val="00AF5D5C"/>
    <w:rsid w:val="00B0476A"/>
    <w:rsid w:val="00B20A10"/>
    <w:rsid w:val="00B22998"/>
    <w:rsid w:val="00B25E92"/>
    <w:rsid w:val="00B26FBE"/>
    <w:rsid w:val="00B31303"/>
    <w:rsid w:val="00B31569"/>
    <w:rsid w:val="00B32589"/>
    <w:rsid w:val="00B40DE2"/>
    <w:rsid w:val="00B505D8"/>
    <w:rsid w:val="00B55583"/>
    <w:rsid w:val="00B559D0"/>
    <w:rsid w:val="00B60081"/>
    <w:rsid w:val="00B70E4D"/>
    <w:rsid w:val="00B722E6"/>
    <w:rsid w:val="00B91B2B"/>
    <w:rsid w:val="00BA1CC6"/>
    <w:rsid w:val="00BA2B45"/>
    <w:rsid w:val="00BA6AD9"/>
    <w:rsid w:val="00BB5FB5"/>
    <w:rsid w:val="00BC2318"/>
    <w:rsid w:val="00BC3CCE"/>
    <w:rsid w:val="00BC49AA"/>
    <w:rsid w:val="00BC7E72"/>
    <w:rsid w:val="00BE057C"/>
    <w:rsid w:val="00BE073B"/>
    <w:rsid w:val="00BE7758"/>
    <w:rsid w:val="00BF688A"/>
    <w:rsid w:val="00C34F42"/>
    <w:rsid w:val="00C35196"/>
    <w:rsid w:val="00C429B5"/>
    <w:rsid w:val="00C443F4"/>
    <w:rsid w:val="00C44DDA"/>
    <w:rsid w:val="00C45A18"/>
    <w:rsid w:val="00C63E4C"/>
    <w:rsid w:val="00C6675A"/>
    <w:rsid w:val="00C74C0E"/>
    <w:rsid w:val="00C867F7"/>
    <w:rsid w:val="00C96478"/>
    <w:rsid w:val="00CC27C4"/>
    <w:rsid w:val="00CE0EB3"/>
    <w:rsid w:val="00CE46E1"/>
    <w:rsid w:val="00CE4B64"/>
    <w:rsid w:val="00CE5E8B"/>
    <w:rsid w:val="00CF1072"/>
    <w:rsid w:val="00CF77BF"/>
    <w:rsid w:val="00D013A4"/>
    <w:rsid w:val="00D040AD"/>
    <w:rsid w:val="00D1765A"/>
    <w:rsid w:val="00D17C43"/>
    <w:rsid w:val="00D21EE9"/>
    <w:rsid w:val="00D279A5"/>
    <w:rsid w:val="00D34006"/>
    <w:rsid w:val="00D4442A"/>
    <w:rsid w:val="00D44F76"/>
    <w:rsid w:val="00D46BFB"/>
    <w:rsid w:val="00D4707E"/>
    <w:rsid w:val="00D51998"/>
    <w:rsid w:val="00D5225F"/>
    <w:rsid w:val="00D7496D"/>
    <w:rsid w:val="00D75B66"/>
    <w:rsid w:val="00D773AD"/>
    <w:rsid w:val="00D86D4D"/>
    <w:rsid w:val="00D90DAF"/>
    <w:rsid w:val="00D93C73"/>
    <w:rsid w:val="00DB76B0"/>
    <w:rsid w:val="00DC0472"/>
    <w:rsid w:val="00DC0E54"/>
    <w:rsid w:val="00DC1D62"/>
    <w:rsid w:val="00DC25C2"/>
    <w:rsid w:val="00DC4FE8"/>
    <w:rsid w:val="00DC6508"/>
    <w:rsid w:val="00DD3D1C"/>
    <w:rsid w:val="00DE1DCF"/>
    <w:rsid w:val="00DE27C9"/>
    <w:rsid w:val="00DF5878"/>
    <w:rsid w:val="00E10279"/>
    <w:rsid w:val="00E11B9E"/>
    <w:rsid w:val="00E13E09"/>
    <w:rsid w:val="00E172A6"/>
    <w:rsid w:val="00E24D37"/>
    <w:rsid w:val="00E25EC0"/>
    <w:rsid w:val="00E35B4F"/>
    <w:rsid w:val="00E3707F"/>
    <w:rsid w:val="00E44092"/>
    <w:rsid w:val="00E512CE"/>
    <w:rsid w:val="00E55CD3"/>
    <w:rsid w:val="00E7139B"/>
    <w:rsid w:val="00E767EC"/>
    <w:rsid w:val="00E87805"/>
    <w:rsid w:val="00E91A9F"/>
    <w:rsid w:val="00EA7185"/>
    <w:rsid w:val="00EB04DB"/>
    <w:rsid w:val="00EB1D0B"/>
    <w:rsid w:val="00EC5ECD"/>
    <w:rsid w:val="00EF619A"/>
    <w:rsid w:val="00F00713"/>
    <w:rsid w:val="00F04C31"/>
    <w:rsid w:val="00F05EA4"/>
    <w:rsid w:val="00F10BEF"/>
    <w:rsid w:val="00F1572B"/>
    <w:rsid w:val="00F24305"/>
    <w:rsid w:val="00F3742E"/>
    <w:rsid w:val="00F44E62"/>
    <w:rsid w:val="00F63FEA"/>
    <w:rsid w:val="00F6765B"/>
    <w:rsid w:val="00F72981"/>
    <w:rsid w:val="00FA306B"/>
    <w:rsid w:val="00FA3334"/>
    <w:rsid w:val="00FB3497"/>
    <w:rsid w:val="00FB59B4"/>
    <w:rsid w:val="00FC199F"/>
    <w:rsid w:val="00FC4942"/>
    <w:rsid w:val="00FC6EB1"/>
    <w:rsid w:val="00FD0042"/>
    <w:rsid w:val="00FD41AC"/>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1">
    <w:name w:val="heading 1"/>
    <w:basedOn w:val="Standard"/>
    <w:next w:val="Standard"/>
    <w:link w:val="berschrift1Zchn"/>
    <w:uiPriority w:val="9"/>
    <w:qFormat/>
    <w:rsid w:val="00DC1D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F10BEF"/>
    <w:pPr>
      <w:spacing w:after="0" w:line="240" w:lineRule="auto"/>
    </w:pPr>
  </w:style>
  <w:style w:type="character" w:customStyle="1" w:styleId="berschrift1Zchn">
    <w:name w:val="Überschrift 1 Zchn"/>
    <w:basedOn w:val="Absatz-Standardschriftart"/>
    <w:link w:val="berschrift1"/>
    <w:uiPriority w:val="9"/>
    <w:rsid w:val="00DC1D6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71460873">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97236781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565144916">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1795977928">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m.lischka@quantr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ruckscout24.de/" TargetMode="External"/><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uckscout24.de/" TargetMode="External"/><Relationship Id="rId5" Type="http://schemas.openxmlformats.org/officeDocument/2006/relationships/numbering" Target="numbering.xml"/><Relationship Id="rId15" Type="http://schemas.openxmlformats.org/officeDocument/2006/relationships/hyperlink" Target="http://www.quantron.ne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e@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q-news/pr-berich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0f3b2e0-c81a-4c27-94c0-8c5d114044ca">
      <Terms xmlns="http://schemas.microsoft.com/office/infopath/2007/PartnerControls"/>
    </lcf76f155ced4ddcb4097134ff3c332f>
    <TaxCatchAll xmlns="160d7d4e-ecad-4bbe-9482-5844bc845bd2" xsi:nil="true"/>
    <Datum xmlns="50f3b2e0-c81a-4c27-94c0-8c5d114044ca" xsi:nil="true"/>
    <SharedWithUsers xmlns="160d7d4e-ecad-4bbe-9482-5844bc845bd2">
      <UserInfo>
        <DisplayName>Martin Lischka | Quantron AG</DisplayName>
        <AccountId>402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6B5720B9-C6C4-437E-B3A5-115B35BE5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6186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18</cp:revision>
  <dcterms:created xsi:type="dcterms:W3CDTF">2022-06-21T14:27:00Z</dcterms:created>
  <dcterms:modified xsi:type="dcterms:W3CDTF">2022-06-22T06:53:00Z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