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56760B19"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326E19" w:rsidRPr="00326E19">
        <w:rPr>
          <w:rFonts w:cstheme="minorHAnsi"/>
          <w:sz w:val="18"/>
        </w:rPr>
        <w:t xml:space="preserve">20. September </w:t>
      </w:r>
      <w:r w:rsidRPr="00326E19">
        <w:rPr>
          <w:rFonts w:cstheme="minorHAnsi"/>
          <w:sz w:val="18"/>
        </w:rPr>
        <w:t>202</w:t>
      </w:r>
      <w:r w:rsidR="00576A09" w:rsidRPr="00326E19">
        <w:rPr>
          <w:rFonts w:cstheme="minorHAnsi"/>
          <w:sz w:val="18"/>
        </w:rPr>
        <w:t>2</w:t>
      </w:r>
    </w:p>
    <w:p w14:paraId="7915A56D" w14:textId="017D0156" w:rsidR="0069112E" w:rsidRPr="0069112E" w:rsidRDefault="00326E19" w:rsidP="0069112E">
      <w:pPr>
        <w:spacing w:before="340" w:after="340" w:line="240" w:lineRule="auto"/>
        <w:rPr>
          <w:rFonts w:cstheme="minorHAnsi"/>
          <w:b/>
          <w:bCs/>
          <w:sz w:val="28"/>
          <w:szCs w:val="28"/>
        </w:rPr>
      </w:pPr>
      <w:r>
        <w:rPr>
          <w:rFonts w:cstheme="minorHAnsi"/>
          <w:b/>
          <w:bCs/>
          <w:sz w:val="28"/>
          <w:szCs w:val="28"/>
        </w:rPr>
        <w:t xml:space="preserve">Hydrogen </w:t>
      </w:r>
      <w:r w:rsidRPr="00326E19">
        <w:rPr>
          <w:rFonts w:cstheme="minorHAnsi"/>
          <w:b/>
          <w:bCs/>
          <w:sz w:val="28"/>
          <w:szCs w:val="28"/>
        </w:rPr>
        <w:t>Highlight auf der IAA Transportation 2022 - QUANTRON bestellt nach außergewöhnlich hoher Kundennachfrage</w:t>
      </w:r>
      <w:r w:rsidR="00D63B73">
        <w:rPr>
          <w:rFonts w:cstheme="minorHAnsi"/>
          <w:b/>
          <w:bCs/>
          <w:sz w:val="28"/>
          <w:szCs w:val="28"/>
        </w:rPr>
        <w:t xml:space="preserve"> </w:t>
      </w:r>
      <w:r w:rsidRPr="00326E19">
        <w:rPr>
          <w:rFonts w:cstheme="minorHAnsi"/>
          <w:b/>
          <w:bCs/>
          <w:sz w:val="28"/>
          <w:szCs w:val="28"/>
        </w:rPr>
        <w:t>140 Brennstoffzellenmodule von Ballard</w:t>
      </w:r>
    </w:p>
    <w:p w14:paraId="6277D810" w14:textId="1AD40D16" w:rsidR="00326E19" w:rsidRPr="00326E19" w:rsidRDefault="00326E19" w:rsidP="00326E19">
      <w:pPr>
        <w:pStyle w:val="01Flietext"/>
        <w:numPr>
          <w:ilvl w:val="0"/>
          <w:numId w:val="2"/>
        </w:numPr>
        <w:contextualSpacing/>
        <w:rPr>
          <w:rFonts w:asciiTheme="minorHAnsi" w:hAnsiTheme="minorHAnsi" w:cstheme="minorHAnsi"/>
          <w:sz w:val="22"/>
          <w:szCs w:val="22"/>
        </w:rPr>
      </w:pPr>
      <w:r w:rsidRPr="00326E19">
        <w:rPr>
          <w:rFonts w:asciiTheme="minorHAnsi" w:hAnsiTheme="minorHAnsi" w:cstheme="minorHAnsi"/>
          <w:sz w:val="22"/>
          <w:szCs w:val="22"/>
        </w:rPr>
        <w:t>QUANTRON präsentiert auf der IAA Transportation 2022 eine H2-betriebene Weltpremiere mit einer Reichweite von bis zu 1.500 km</w:t>
      </w:r>
      <w:r w:rsidR="00E37365">
        <w:rPr>
          <w:rFonts w:asciiTheme="minorHAnsi" w:hAnsiTheme="minorHAnsi" w:cstheme="minorHAnsi"/>
          <w:sz w:val="22"/>
          <w:szCs w:val="22"/>
        </w:rPr>
        <w:t xml:space="preserve"> für die nordische Version</w:t>
      </w:r>
      <w:r w:rsidR="00472A78">
        <w:rPr>
          <w:rFonts w:asciiTheme="minorHAnsi" w:hAnsiTheme="minorHAnsi" w:cstheme="minorHAnsi"/>
          <w:sz w:val="22"/>
          <w:szCs w:val="22"/>
        </w:rPr>
        <w:t xml:space="preserve"> und bis zu 700 km für die EU-Standardversion</w:t>
      </w:r>
      <w:r w:rsidRPr="00326E19">
        <w:rPr>
          <w:rFonts w:asciiTheme="minorHAnsi" w:hAnsiTheme="minorHAnsi" w:cstheme="minorHAnsi"/>
          <w:sz w:val="22"/>
          <w:szCs w:val="22"/>
        </w:rPr>
        <w:t>: Der Wasserstoff Heavy Duty Truck QUANTRON QHM FCEV</w:t>
      </w:r>
    </w:p>
    <w:p w14:paraId="2AA8B99A" w14:textId="27600D37" w:rsidR="00326E19" w:rsidRDefault="00326E19" w:rsidP="00326E19">
      <w:pPr>
        <w:pStyle w:val="01Flietext"/>
        <w:numPr>
          <w:ilvl w:val="0"/>
          <w:numId w:val="2"/>
        </w:numPr>
        <w:contextualSpacing/>
        <w:rPr>
          <w:rFonts w:asciiTheme="minorHAnsi" w:hAnsiTheme="minorHAnsi" w:cstheme="minorHAnsi"/>
          <w:sz w:val="22"/>
          <w:szCs w:val="22"/>
        </w:rPr>
      </w:pPr>
      <w:r w:rsidRPr="00326E19">
        <w:rPr>
          <w:rFonts w:asciiTheme="minorHAnsi" w:hAnsiTheme="minorHAnsi" w:cstheme="minorHAnsi"/>
          <w:sz w:val="22"/>
          <w:szCs w:val="22"/>
        </w:rPr>
        <w:t xml:space="preserve">Aufgrund der starken Nachfrage und mehr als 250 Erstanfragen bestellt QUANTRON </w:t>
      </w:r>
      <w:r w:rsidR="00212424">
        <w:rPr>
          <w:rFonts w:asciiTheme="minorHAnsi" w:hAnsiTheme="minorHAnsi" w:cstheme="minorHAnsi"/>
          <w:sz w:val="22"/>
          <w:szCs w:val="22"/>
        </w:rPr>
        <w:t>die ersten 140</w:t>
      </w:r>
      <w:r w:rsidRPr="00326E19">
        <w:rPr>
          <w:rFonts w:asciiTheme="minorHAnsi" w:hAnsiTheme="minorHAnsi" w:cstheme="minorHAnsi"/>
          <w:sz w:val="22"/>
          <w:szCs w:val="22"/>
        </w:rPr>
        <w:t xml:space="preserve"> Brennstoffzellenmotoren bei Ballard Power Systems, einem weltweit führenden Wasserstoffexperten</w:t>
      </w:r>
    </w:p>
    <w:p w14:paraId="33ECEEB5" w14:textId="7725EBA6" w:rsidR="004462EB" w:rsidRDefault="00B001A2" w:rsidP="004462EB">
      <w:pPr>
        <w:pStyle w:val="01Flietext"/>
        <w:numPr>
          <w:ilvl w:val="0"/>
          <w:numId w:val="2"/>
        </w:numPr>
        <w:contextualSpacing/>
        <w:rPr>
          <w:rFonts w:asciiTheme="minorHAnsi" w:hAnsiTheme="minorHAnsi" w:cstheme="minorHAnsi"/>
          <w:sz w:val="22"/>
          <w:szCs w:val="22"/>
        </w:rPr>
      </w:pPr>
      <w:r w:rsidRPr="00B001A2">
        <w:rPr>
          <w:rFonts w:asciiTheme="minorHAnsi" w:hAnsiTheme="minorHAnsi" w:cstheme="minorHAnsi"/>
          <w:sz w:val="22"/>
          <w:szCs w:val="22"/>
        </w:rPr>
        <w:t xml:space="preserve">Das von Ballard Power entwickelte Quantron FCEV-System ist das erste maßgeschneiderte System für Heavy Duty Trucks in der 43-jährigen Geschichte von Ballard - und </w:t>
      </w:r>
      <w:r w:rsidR="006E3486">
        <w:rPr>
          <w:rFonts w:asciiTheme="minorHAnsi" w:hAnsiTheme="minorHAnsi" w:cstheme="minorHAnsi"/>
          <w:sz w:val="22"/>
          <w:szCs w:val="22"/>
        </w:rPr>
        <w:t>QUANTRON</w:t>
      </w:r>
      <w:r w:rsidRPr="00B001A2">
        <w:rPr>
          <w:rFonts w:asciiTheme="minorHAnsi" w:hAnsiTheme="minorHAnsi" w:cstheme="minorHAnsi"/>
          <w:sz w:val="22"/>
          <w:szCs w:val="22"/>
        </w:rPr>
        <w:t xml:space="preserve"> ist der erste Kunde weltweit</w:t>
      </w:r>
    </w:p>
    <w:p w14:paraId="0B20C57E" w14:textId="7B42275C" w:rsidR="004462EB" w:rsidRPr="004462EB" w:rsidRDefault="004462EB" w:rsidP="004462EB">
      <w:pPr>
        <w:pStyle w:val="01Flietext"/>
        <w:numPr>
          <w:ilvl w:val="0"/>
          <w:numId w:val="2"/>
        </w:numPr>
        <w:contextualSpacing/>
        <w:rPr>
          <w:rFonts w:asciiTheme="minorHAnsi" w:hAnsiTheme="minorHAnsi" w:cstheme="minorHAnsi"/>
          <w:sz w:val="22"/>
          <w:szCs w:val="22"/>
        </w:rPr>
      </w:pPr>
      <w:r w:rsidRPr="004462EB">
        <w:rPr>
          <w:rFonts w:asciiTheme="minorHAnsi" w:hAnsiTheme="minorHAnsi" w:cstheme="minorHAnsi"/>
          <w:sz w:val="22"/>
          <w:szCs w:val="22"/>
        </w:rPr>
        <w:t>Im nächsten Schritt sind in Zusammenarbeit mit Ballard Power für 2023 insgesamt vier FCEV-Modelle geplant, die alle mit Wasserstoff betrieben werden und emissionsfrei sind.</w:t>
      </w:r>
    </w:p>
    <w:p w14:paraId="49B07E55" w14:textId="518D4AE4" w:rsidR="00D63B73" w:rsidRDefault="00326E19" w:rsidP="00326E19">
      <w:pPr>
        <w:pStyle w:val="StandardWeb"/>
        <w:shd w:val="clear" w:color="auto" w:fill="FFFFFF"/>
        <w:spacing w:before="0" w:beforeAutospacing="0" w:after="0" w:afterAutospacing="0" w:line="324" w:lineRule="auto"/>
        <w:rPr>
          <w:rFonts w:asciiTheme="minorHAnsi" w:eastAsiaTheme="minorHAnsi" w:hAnsiTheme="minorHAnsi" w:cstheme="minorHAnsi"/>
          <w:sz w:val="22"/>
          <w:szCs w:val="22"/>
          <w:lang w:eastAsia="en-US"/>
        </w:rPr>
      </w:pPr>
      <w:r w:rsidRPr="00326E19">
        <w:rPr>
          <w:rFonts w:asciiTheme="minorHAnsi" w:eastAsiaTheme="minorHAnsi" w:hAnsiTheme="minorHAnsi" w:cstheme="minorHAnsi"/>
          <w:sz w:val="22"/>
          <w:szCs w:val="22"/>
          <w:lang w:eastAsia="en-US"/>
        </w:rPr>
        <w:t>Auf der IAA Transportation 2022 in Hannover präsentiert QUANTRON mit dem QUANTRON QHM FCEV Wasserstoff-</w:t>
      </w:r>
      <w:r>
        <w:rPr>
          <w:rFonts w:asciiTheme="minorHAnsi" w:eastAsiaTheme="minorHAnsi" w:hAnsiTheme="minorHAnsi" w:cstheme="minorHAnsi"/>
          <w:sz w:val="22"/>
          <w:szCs w:val="22"/>
          <w:lang w:eastAsia="en-US"/>
        </w:rPr>
        <w:t>Truck</w:t>
      </w:r>
      <w:r w:rsidRPr="00326E19">
        <w:rPr>
          <w:rFonts w:asciiTheme="minorHAnsi" w:eastAsiaTheme="minorHAnsi" w:hAnsiTheme="minorHAnsi" w:cstheme="minorHAnsi"/>
          <w:sz w:val="22"/>
          <w:szCs w:val="22"/>
          <w:lang w:eastAsia="en-US"/>
        </w:rPr>
        <w:t xml:space="preserve"> einen Weltmeister in punkto Reichweite. Das Fahrzeug mit integrierter FCmove™-XD 120 kW Brennstoffzelle von Ballard Power Systems (NASDAQ: BLDP) erreicht in der Variante QUANTRON QHM 44-2000 bis zu 1.500 km. D</w:t>
      </w:r>
      <w:r>
        <w:rPr>
          <w:rFonts w:asciiTheme="minorHAnsi" w:eastAsiaTheme="minorHAnsi" w:hAnsiTheme="minorHAnsi" w:cstheme="minorHAnsi"/>
          <w:sz w:val="22"/>
          <w:szCs w:val="22"/>
          <w:lang w:eastAsia="en-US"/>
        </w:rPr>
        <w:t>er</w:t>
      </w:r>
      <w:r w:rsidRPr="00326E19">
        <w:rPr>
          <w:rFonts w:asciiTheme="minorHAnsi" w:eastAsiaTheme="minorHAnsi" w:hAnsiTheme="minorHAnsi" w:cstheme="minorHAnsi"/>
          <w:sz w:val="22"/>
          <w:szCs w:val="22"/>
          <w:lang w:eastAsia="en-US"/>
        </w:rPr>
        <w:t xml:space="preserve"> QUANTRON QHM FCEV </w:t>
      </w:r>
      <w:r w:rsidR="009C36C1">
        <w:rPr>
          <w:rFonts w:asciiTheme="minorHAnsi" w:eastAsiaTheme="minorHAnsi" w:hAnsiTheme="minorHAnsi" w:cstheme="minorHAnsi"/>
          <w:sz w:val="22"/>
          <w:szCs w:val="22"/>
          <w:lang w:eastAsia="en-US"/>
        </w:rPr>
        <w:t>feierte gestern auf der Messe seine Weltpremiere</w:t>
      </w:r>
      <w:r w:rsidRPr="00326E19">
        <w:rPr>
          <w:rFonts w:asciiTheme="minorHAnsi" w:eastAsiaTheme="minorHAnsi" w:hAnsiTheme="minorHAnsi" w:cstheme="minorHAnsi"/>
          <w:sz w:val="22"/>
          <w:szCs w:val="22"/>
          <w:lang w:eastAsia="en-US"/>
        </w:rPr>
        <w:t xml:space="preserve"> und es liegen bereits </w:t>
      </w:r>
      <w:r w:rsidR="009C36C1">
        <w:rPr>
          <w:rFonts w:asciiTheme="minorHAnsi" w:eastAsiaTheme="minorHAnsi" w:hAnsiTheme="minorHAnsi" w:cstheme="minorHAnsi"/>
          <w:sz w:val="22"/>
          <w:szCs w:val="22"/>
          <w:lang w:eastAsia="en-US"/>
        </w:rPr>
        <w:t xml:space="preserve">jetzt </w:t>
      </w:r>
      <w:r w:rsidRPr="00326E19">
        <w:rPr>
          <w:rFonts w:asciiTheme="minorHAnsi" w:eastAsiaTheme="minorHAnsi" w:hAnsiTheme="minorHAnsi" w:cstheme="minorHAnsi"/>
          <w:sz w:val="22"/>
          <w:szCs w:val="22"/>
          <w:lang w:eastAsia="en-US"/>
        </w:rPr>
        <w:t>mehr als 250 Anfragen und erste Bestellungen für das Fahrzeug vor. Dazu gehören Deutschland mit einer besonders hohen Nachfrage im Rahmen der jüngsten Förderanträge sowie Norwegen, für das die Variante QUANTRON QHM FCEV 44-2000 speziell als Einsatzgebiet entwickelt wurde.</w:t>
      </w:r>
      <w:r w:rsidR="00D63B73">
        <w:rPr>
          <w:rFonts w:asciiTheme="minorHAnsi" w:eastAsiaTheme="minorHAnsi" w:hAnsiTheme="minorHAnsi" w:cstheme="minorHAnsi"/>
          <w:sz w:val="22"/>
          <w:szCs w:val="22"/>
          <w:lang w:eastAsia="en-US"/>
        </w:rPr>
        <w:t xml:space="preserve"> </w:t>
      </w:r>
    </w:p>
    <w:p w14:paraId="6C985643" w14:textId="77777777" w:rsidR="00D63B73" w:rsidRDefault="00D63B73" w:rsidP="00326E19">
      <w:pPr>
        <w:pStyle w:val="StandardWeb"/>
        <w:shd w:val="clear" w:color="auto" w:fill="FFFFFF"/>
        <w:spacing w:before="0" w:beforeAutospacing="0" w:after="0" w:afterAutospacing="0" w:line="324" w:lineRule="auto"/>
        <w:rPr>
          <w:rFonts w:asciiTheme="minorHAnsi" w:eastAsiaTheme="minorHAnsi" w:hAnsiTheme="minorHAnsi" w:cstheme="minorHAnsi"/>
          <w:sz w:val="22"/>
          <w:szCs w:val="22"/>
          <w:lang w:eastAsia="en-US"/>
        </w:rPr>
      </w:pPr>
    </w:p>
    <w:p w14:paraId="05B31857" w14:textId="72854762" w:rsidR="00326E19" w:rsidRPr="00326E19" w:rsidRDefault="00326E19" w:rsidP="00326E19">
      <w:pPr>
        <w:pStyle w:val="StandardWeb"/>
        <w:shd w:val="clear" w:color="auto" w:fill="FFFFFF"/>
        <w:spacing w:before="0" w:beforeAutospacing="0" w:after="0" w:afterAutospacing="0" w:line="324" w:lineRule="auto"/>
        <w:rPr>
          <w:rFonts w:asciiTheme="minorHAnsi" w:eastAsiaTheme="minorHAnsi" w:hAnsiTheme="minorHAnsi" w:cstheme="minorHAnsi"/>
          <w:sz w:val="22"/>
          <w:szCs w:val="22"/>
          <w:lang w:eastAsia="en-US"/>
        </w:rPr>
      </w:pPr>
      <w:r w:rsidRPr="00326E19">
        <w:rPr>
          <w:rFonts w:asciiTheme="minorHAnsi" w:eastAsiaTheme="minorHAnsi" w:hAnsiTheme="minorHAnsi" w:cstheme="minorHAnsi"/>
          <w:sz w:val="22"/>
          <w:szCs w:val="22"/>
          <w:lang w:eastAsia="en-US"/>
        </w:rPr>
        <w:t>Zur Sicherung der Lieferkette hat QUANTRON daher bei Ballard 140 Brennstoffzellenmotoren mit einer Gesamtleistung von ca. 17 MW bestellt, mit einer Option auf weitere 50 Einheiten. Die Brennstoffzellenmodule werden voraussichtlich in den Jahren 2023 und 2024 ausgeliefert.</w:t>
      </w:r>
    </w:p>
    <w:p w14:paraId="5D85F28D" w14:textId="77777777" w:rsidR="00326E19" w:rsidRPr="00326E19" w:rsidRDefault="00326E19" w:rsidP="00326E19">
      <w:pPr>
        <w:pStyle w:val="StandardWeb"/>
        <w:shd w:val="clear" w:color="auto" w:fill="FFFFFF"/>
        <w:spacing w:before="0" w:beforeAutospacing="0" w:after="0" w:afterAutospacing="0" w:line="324" w:lineRule="auto"/>
        <w:rPr>
          <w:rFonts w:asciiTheme="minorHAnsi" w:eastAsiaTheme="minorHAnsi" w:hAnsiTheme="minorHAnsi" w:cstheme="minorHAnsi"/>
          <w:sz w:val="22"/>
          <w:szCs w:val="22"/>
          <w:lang w:eastAsia="en-US"/>
        </w:rPr>
      </w:pPr>
    </w:p>
    <w:p w14:paraId="76B7038E" w14:textId="5ACDE128" w:rsidR="00326E19" w:rsidRPr="00326E19" w:rsidRDefault="00326E19" w:rsidP="00326E19">
      <w:pPr>
        <w:pStyle w:val="StandardWeb"/>
        <w:shd w:val="clear" w:color="auto" w:fill="FFFFFF"/>
        <w:spacing w:before="0" w:beforeAutospacing="0" w:after="0" w:afterAutospacing="0" w:line="324" w:lineRule="auto"/>
        <w:rPr>
          <w:rFonts w:asciiTheme="minorHAnsi" w:eastAsiaTheme="minorHAnsi" w:hAnsiTheme="minorHAnsi" w:cstheme="minorHAnsi"/>
          <w:sz w:val="22"/>
          <w:szCs w:val="22"/>
          <w:lang w:eastAsia="en-US"/>
        </w:rPr>
      </w:pPr>
      <w:r w:rsidRPr="00326E19">
        <w:rPr>
          <w:rFonts w:asciiTheme="minorHAnsi" w:eastAsiaTheme="minorHAnsi" w:hAnsiTheme="minorHAnsi" w:cstheme="minorHAnsi"/>
          <w:sz w:val="22"/>
          <w:szCs w:val="22"/>
          <w:lang w:eastAsia="en-US"/>
        </w:rPr>
        <w:lastRenderedPageBreak/>
        <w:t>Seit September 2021 arbeiten QUANTRON und Ballard in einer strategischen Partnerschaft zusammen, um die Entwicklung von Wasserstofffahrzeugen für den Schwerlastverkehr zu beschleunigen. Als Ergebnis dieser engen Zusammenarbeit hat Ballard im Rahmen von QUANTRONs Finanzierungsrunde eine Minderheitsbeteiligung an der Quantron AG in Höhe von bis zu 50 Millionen Euro getätigt. Ballards Investitionserlöse werden von QUANTRON im Rahmen einer gemeinsamen Vereinbarung für die Entwicklung der Brennstoffzellen-Fahrzeugplattformen verwendet. Ballard wird der exklusive Brennstoffzellenlieferant von QUANTRON für diese Plattformen sein.</w:t>
      </w:r>
    </w:p>
    <w:p w14:paraId="1B6D9004" w14:textId="77777777" w:rsidR="00326E19" w:rsidRPr="00326E19" w:rsidRDefault="00326E19" w:rsidP="00326E19">
      <w:pPr>
        <w:pStyle w:val="StandardWeb"/>
        <w:shd w:val="clear" w:color="auto" w:fill="FFFFFF"/>
        <w:spacing w:before="0" w:beforeAutospacing="0" w:after="0" w:afterAutospacing="0" w:line="324" w:lineRule="auto"/>
        <w:rPr>
          <w:rFonts w:asciiTheme="minorHAnsi" w:eastAsiaTheme="minorHAnsi" w:hAnsiTheme="minorHAnsi" w:cstheme="minorHAnsi"/>
          <w:sz w:val="22"/>
          <w:szCs w:val="22"/>
          <w:lang w:eastAsia="en-US"/>
        </w:rPr>
      </w:pPr>
    </w:p>
    <w:p w14:paraId="553A974F" w14:textId="789DA683" w:rsidR="00326E19" w:rsidRPr="00326E19" w:rsidRDefault="00326E19" w:rsidP="00326E19">
      <w:pPr>
        <w:pStyle w:val="StandardWeb"/>
        <w:shd w:val="clear" w:color="auto" w:fill="FFFFFF"/>
        <w:spacing w:before="0" w:beforeAutospacing="0" w:after="0" w:afterAutospacing="0" w:line="324" w:lineRule="auto"/>
        <w:rPr>
          <w:rFonts w:asciiTheme="minorHAnsi" w:eastAsiaTheme="minorHAnsi" w:hAnsiTheme="minorHAnsi" w:cstheme="minorHAnsi"/>
          <w:sz w:val="22"/>
          <w:szCs w:val="22"/>
          <w:lang w:eastAsia="en-US"/>
        </w:rPr>
      </w:pPr>
      <w:r w:rsidRPr="00326E19">
        <w:rPr>
          <w:rFonts w:asciiTheme="minorHAnsi" w:eastAsiaTheme="minorHAnsi" w:hAnsiTheme="minorHAnsi" w:cstheme="minorHAnsi"/>
          <w:sz w:val="22"/>
          <w:szCs w:val="22"/>
          <w:lang w:eastAsia="en-US"/>
        </w:rPr>
        <w:t xml:space="preserve">Die von QUANTRON entwickelten emissionsfreien Brennstoffzellen-Elektrofahrzeug-Plattformen werden Ballard-Brennstoffzellenprodukte für verschiedene LKW-Anwendungen in Europa und den USA enthalten. QUANTRONs erster Marktschwerpunkt ist Deutschland, wo der neue 44-Tonnen-Brennstoffzellen-Lkw auf der IAA Transportation 2022 vorgestellt wurde. In einem nächsten Schritt sind für 2023 insgesamt vier FCEV-Modelle von Ballard Power </w:t>
      </w:r>
      <w:r w:rsidR="00F75858">
        <w:rPr>
          <w:rFonts w:asciiTheme="minorHAnsi" w:eastAsiaTheme="minorHAnsi" w:hAnsiTheme="minorHAnsi" w:cstheme="minorHAnsi"/>
          <w:sz w:val="22"/>
          <w:szCs w:val="22"/>
          <w:lang w:eastAsia="en-US"/>
        </w:rPr>
        <w:t>geplant.</w:t>
      </w:r>
    </w:p>
    <w:p w14:paraId="1B128C45" w14:textId="1927BF32" w:rsidR="00326E19" w:rsidRPr="00326E19" w:rsidRDefault="00D63B73" w:rsidP="00326E19">
      <w:pPr>
        <w:pStyle w:val="StandardWeb"/>
        <w:spacing w:line="324"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326E19" w:rsidRPr="00326E19">
        <w:rPr>
          <w:rFonts w:asciiTheme="minorHAnsi" w:eastAsiaTheme="minorHAnsi" w:hAnsiTheme="minorHAnsi" w:cstheme="minorHAnsi"/>
          <w:sz w:val="22"/>
          <w:szCs w:val="22"/>
          <w:lang w:eastAsia="en-US"/>
        </w:rPr>
        <w:t>Wir beobachten weltweit eine wachsende Nachfrage und politische Unterstützung für emissionsfreien Verkehr, da die Unternehmen bestrebt sind, ihre Dekarbonisierungsziele zu erreichen. Diese Zusammenarbeit beschleunigt unseren Eintritt in den europäischen Nutzfahrzeugmarkt und zielt darauf ab, die ersten wasserstoffbetriebenen, emissionsfreien Fahrzeuge von QUANTRON in den nächsten 18 Monaten auf die Straße zu bringen</w:t>
      </w:r>
      <w:r>
        <w:rPr>
          <w:rFonts w:asciiTheme="minorHAnsi" w:eastAsiaTheme="minorHAnsi" w:hAnsiTheme="minorHAnsi" w:cstheme="minorHAnsi"/>
          <w:sz w:val="22"/>
          <w:szCs w:val="22"/>
          <w:lang w:eastAsia="en-US"/>
        </w:rPr>
        <w:t>“</w:t>
      </w:r>
      <w:r w:rsidR="00326E19" w:rsidRPr="00326E19">
        <w:rPr>
          <w:rFonts w:asciiTheme="minorHAnsi" w:eastAsiaTheme="minorHAnsi" w:hAnsiTheme="minorHAnsi" w:cstheme="minorHAnsi"/>
          <w:sz w:val="22"/>
          <w:szCs w:val="22"/>
          <w:lang w:eastAsia="en-US"/>
        </w:rPr>
        <w:t>, sagte Randy MacEwen, CEO von Ballard Power Systems.</w:t>
      </w:r>
    </w:p>
    <w:p w14:paraId="319BF441" w14:textId="495DB4ED" w:rsidR="00326E19" w:rsidRPr="00326E19" w:rsidRDefault="00D63B73" w:rsidP="00326E19">
      <w:pPr>
        <w:pStyle w:val="StandardWeb"/>
        <w:spacing w:line="324"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w:t>
      </w:r>
      <w:r w:rsidR="00326E19" w:rsidRPr="00326E19">
        <w:rPr>
          <w:rFonts w:asciiTheme="minorHAnsi" w:eastAsiaTheme="minorHAnsi" w:hAnsiTheme="minorHAnsi" w:cstheme="minorHAnsi"/>
          <w:sz w:val="22"/>
          <w:szCs w:val="22"/>
          <w:lang w:eastAsia="en-US"/>
        </w:rPr>
        <w:t>QUANTRON freut sich sehr, die strategische Partnerschaft mit Ballard voranzutreiben. Wir sehen überzeugende Mobilitätslösungen, bei denen Brennstoffzellenmotoren angesichts der Leistungs- und Reichweitenanforderungen die am besten geeignete emissionsfreie Lösung sind</w:t>
      </w:r>
      <w:r>
        <w:rPr>
          <w:rFonts w:asciiTheme="minorHAnsi" w:eastAsiaTheme="minorHAnsi" w:hAnsiTheme="minorHAnsi" w:cstheme="minorHAnsi"/>
          <w:sz w:val="22"/>
          <w:szCs w:val="22"/>
          <w:lang w:eastAsia="en-US"/>
        </w:rPr>
        <w:t>“</w:t>
      </w:r>
      <w:r w:rsidR="00326E19" w:rsidRPr="00326E19">
        <w:rPr>
          <w:rFonts w:asciiTheme="minorHAnsi" w:eastAsiaTheme="minorHAnsi" w:hAnsiTheme="minorHAnsi" w:cstheme="minorHAnsi"/>
          <w:sz w:val="22"/>
          <w:szCs w:val="22"/>
          <w:lang w:eastAsia="en-US"/>
        </w:rPr>
        <w:t>, kommentiert Andreas Haller, Gründer und Vorstand der Quantron AG.</w:t>
      </w:r>
    </w:p>
    <w:p w14:paraId="7E73A96B" w14:textId="0DC28B3D" w:rsidR="00326E19" w:rsidRPr="00326E19" w:rsidRDefault="00326E19" w:rsidP="00326E19">
      <w:pPr>
        <w:pStyle w:val="StandardWeb"/>
        <w:spacing w:line="324" w:lineRule="auto"/>
        <w:rPr>
          <w:rFonts w:asciiTheme="minorHAnsi" w:eastAsiaTheme="minorHAnsi" w:hAnsiTheme="minorHAnsi" w:cstheme="minorHAnsi"/>
          <w:sz w:val="22"/>
          <w:szCs w:val="22"/>
          <w:lang w:eastAsia="en-US"/>
        </w:rPr>
      </w:pPr>
      <w:r w:rsidRPr="00326E19">
        <w:rPr>
          <w:rFonts w:asciiTheme="minorHAnsi" w:eastAsiaTheme="minorHAnsi" w:hAnsiTheme="minorHAnsi" w:cstheme="minorHAnsi"/>
          <w:sz w:val="22"/>
          <w:szCs w:val="22"/>
          <w:lang w:eastAsia="en-US"/>
        </w:rPr>
        <w:t xml:space="preserve">Michael Perschke, Vorstandsvorsitzender der Quantron AG, fügte hinzu: </w:t>
      </w:r>
      <w:r w:rsidR="00D63B73">
        <w:rPr>
          <w:rFonts w:asciiTheme="minorHAnsi" w:eastAsiaTheme="minorHAnsi" w:hAnsiTheme="minorHAnsi" w:cstheme="minorHAnsi"/>
          <w:sz w:val="22"/>
          <w:szCs w:val="22"/>
          <w:lang w:eastAsia="en-US"/>
        </w:rPr>
        <w:t>„</w:t>
      </w:r>
      <w:r w:rsidRPr="00326E19">
        <w:rPr>
          <w:rFonts w:asciiTheme="minorHAnsi" w:eastAsiaTheme="minorHAnsi" w:hAnsiTheme="minorHAnsi" w:cstheme="minorHAnsi"/>
          <w:sz w:val="22"/>
          <w:szCs w:val="22"/>
          <w:lang w:eastAsia="en-US"/>
        </w:rPr>
        <w:t>Wir wollen unseren Kunden die bestmögliche Lösung bieten, und unsere fortgesetzte Zusammenarbeit mit Ballard ermöglicht es uns, unsere umweltfreundlichen Angebote weiterzuentwickeln, um die Bedürfnisse unserer Kunden zu erfüllen, einschließlich Reichweite, Nutzlast und Betankungszeit bei zunehmend wettbewerbsfähigen Gesamtbetriebskosten.</w:t>
      </w:r>
      <w:r w:rsidR="001F402E">
        <w:rPr>
          <w:rFonts w:asciiTheme="minorHAnsi" w:eastAsiaTheme="minorHAnsi" w:hAnsiTheme="minorHAnsi" w:cstheme="minorHAnsi"/>
          <w:sz w:val="22"/>
          <w:szCs w:val="22"/>
          <w:lang w:eastAsia="en-US"/>
        </w:rPr>
        <w:t xml:space="preserve"> </w:t>
      </w:r>
      <w:r w:rsidR="00BF554C" w:rsidRPr="00BF554C">
        <w:rPr>
          <w:rFonts w:asciiTheme="minorHAnsi" w:eastAsiaTheme="minorHAnsi" w:hAnsiTheme="minorHAnsi" w:cstheme="minorHAnsi"/>
          <w:sz w:val="22"/>
          <w:szCs w:val="22"/>
          <w:lang w:eastAsia="en-US"/>
        </w:rPr>
        <w:t>In einem nächsten Schritt müssen wir das Henne-Ei-Problem lösen und mehrere Partnerschaften für die Produktion und Betankung von grünem Wasserstoff eingehen.</w:t>
      </w:r>
      <w:r w:rsidR="00D63B73">
        <w:rPr>
          <w:rFonts w:asciiTheme="minorHAnsi" w:eastAsiaTheme="minorHAnsi" w:hAnsiTheme="minorHAnsi" w:cstheme="minorHAnsi"/>
          <w:sz w:val="22"/>
          <w:szCs w:val="22"/>
          <w:lang w:eastAsia="en-US"/>
        </w:rPr>
        <w:t>“</w:t>
      </w:r>
    </w:p>
    <w:p w14:paraId="616DC6AA" w14:textId="730D8801" w:rsidR="00326E19" w:rsidRPr="00326E19" w:rsidRDefault="00326E19" w:rsidP="00326E19">
      <w:pPr>
        <w:pStyle w:val="01Flietext"/>
        <w:rPr>
          <w:rFonts w:asciiTheme="minorHAnsi" w:hAnsiTheme="minorHAnsi" w:cstheme="minorHAnsi"/>
          <w:sz w:val="22"/>
          <w:szCs w:val="22"/>
        </w:rPr>
      </w:pPr>
      <w:r w:rsidRPr="00326E19">
        <w:rPr>
          <w:rFonts w:asciiTheme="minorHAnsi" w:hAnsiTheme="minorHAnsi" w:cstheme="minorHAnsi"/>
          <w:sz w:val="22"/>
          <w:szCs w:val="22"/>
        </w:rPr>
        <w:lastRenderedPageBreak/>
        <w:t>Im Rahmen seiner strategischen Investition hat Ballard das Recht, einen Vertreter in den Vorstand von QUANTRON zu entsenden.</w:t>
      </w:r>
    </w:p>
    <w:p w14:paraId="16B40923" w14:textId="77777777" w:rsidR="00B25E92" w:rsidRPr="00326E19" w:rsidRDefault="00B25E92" w:rsidP="00F63FEA">
      <w:pPr>
        <w:spacing w:line="324" w:lineRule="auto"/>
        <w:ind w:right="597"/>
        <w:rPr>
          <w:rFonts w:cstheme="minorHAnsi"/>
          <w:bCs/>
        </w:rPr>
      </w:pPr>
    </w:p>
    <w:p w14:paraId="312772B0" w14:textId="508CA050" w:rsidR="00E13E09" w:rsidRPr="0093752A" w:rsidRDefault="00FD5A97" w:rsidP="0093752A">
      <w:pPr>
        <w:rPr>
          <w:rFonts w:cstheme="minorHAnsi"/>
          <w:b/>
        </w:rPr>
      </w:pPr>
      <w:r w:rsidRPr="0093752A">
        <w:rPr>
          <w:rFonts w:cstheme="minorHAnsi"/>
          <w:b/>
        </w:rPr>
        <w:t>Bilder (Zum Download bitte auf die Bildvorschau klicken)</w:t>
      </w:r>
      <w:r w:rsidR="008B7AF6" w:rsidRPr="0093752A">
        <w:rPr>
          <w:rFonts w:cstheme="minorHAnsi"/>
          <w:b/>
        </w:rPr>
        <w:t>:</w:t>
      </w:r>
    </w:p>
    <w:p w14:paraId="76E22AD1" w14:textId="7198D052" w:rsidR="00F63FEA" w:rsidRDefault="00F63FEA" w:rsidP="00F63FEA">
      <w:pPr>
        <w:spacing w:line="324" w:lineRule="auto"/>
        <w:ind w:right="597"/>
      </w:pPr>
      <w:r w:rsidRPr="04064243">
        <w:t>Das Originalfoto in niedriger und hoher Auflösung finden Sie hier:</w:t>
      </w:r>
      <w:r>
        <w:t xml:space="preserve"> </w:t>
      </w:r>
      <w:hyperlink r:id="rId11">
        <w:r w:rsidRPr="04064243">
          <w:rPr>
            <w:rStyle w:val="Hyperlink"/>
          </w:rPr>
          <w:t>Pressemitteilungen der Quantron AG</w:t>
        </w:r>
      </w:hyperlink>
      <w:r>
        <w:t xml:space="preserve"> (</w:t>
      </w:r>
      <w:hyperlink r:id="rId12" w:history="1">
        <w:r w:rsidR="00E82908" w:rsidRPr="00BB08FE">
          <w:rPr>
            <w:rStyle w:val="Hyperlink"/>
          </w:rPr>
          <w:t>https://www.quantron.net/q-news/pr-berichte/</w:t>
        </w:r>
      </w:hyperlink>
      <w:r>
        <w:t xml:space="preserve">) </w:t>
      </w:r>
    </w:p>
    <w:p w14:paraId="3D3D977A" w14:textId="77777777" w:rsidR="00E82908" w:rsidRDefault="00E82908" w:rsidP="00F63FEA">
      <w:pPr>
        <w:spacing w:line="324" w:lineRule="auto"/>
        <w:ind w:right="597"/>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373634" w:rsidRPr="00FF6FF7" w14:paraId="3ABFF3C2" w14:textId="77777777" w:rsidTr="00373634">
        <w:tc>
          <w:tcPr>
            <w:tcW w:w="4673" w:type="dxa"/>
          </w:tcPr>
          <w:p w14:paraId="6F4DA6AA" w14:textId="77777777" w:rsidR="00BB3C6E" w:rsidRPr="00EF6D8C" w:rsidRDefault="00950C10" w:rsidP="00F63FEA">
            <w:pPr>
              <w:spacing w:line="324" w:lineRule="auto"/>
              <w:ind w:right="597"/>
              <w:rPr>
                <w:rFonts w:cstheme="minorHAnsi"/>
                <w:bCs/>
                <w:noProof/>
              </w:rPr>
            </w:pPr>
            <w:r w:rsidRPr="00EF6D8C">
              <w:rPr>
                <w:rFonts w:cstheme="minorHAnsi"/>
                <w:bCs/>
                <w:noProof/>
              </w:rPr>
              <w:drawing>
                <wp:inline distT="0" distB="0" distL="0" distR="0" wp14:anchorId="2594DEE6" wp14:editId="0FBDB7AF">
                  <wp:extent cx="2559600" cy="1440000"/>
                  <wp:effectExtent l="0" t="0" r="0" b="8255"/>
                  <wp:docPr id="6" name="Grafik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9600" cy="1440000"/>
                          </a:xfrm>
                          <a:prstGeom prst="rect">
                            <a:avLst/>
                          </a:prstGeom>
                          <a:noFill/>
                          <a:ln>
                            <a:noFill/>
                          </a:ln>
                        </pic:spPr>
                      </pic:pic>
                    </a:graphicData>
                  </a:graphic>
                </wp:inline>
              </w:drawing>
            </w:r>
          </w:p>
          <w:p w14:paraId="3ABCCB3E" w14:textId="77777777" w:rsidR="00EF6D8C" w:rsidRDefault="00EF6D8C" w:rsidP="00F63FEA">
            <w:pPr>
              <w:spacing w:line="324" w:lineRule="auto"/>
              <w:ind w:right="597"/>
              <w:rPr>
                <w:rFonts w:cstheme="minorHAnsi"/>
                <w:bCs/>
                <w:noProof/>
              </w:rPr>
            </w:pPr>
            <w:r w:rsidRPr="00EF6D8C">
              <w:rPr>
                <w:rFonts w:cstheme="minorHAnsi"/>
                <w:bCs/>
                <w:noProof/>
              </w:rPr>
              <w:t>Der QUANTRON QHM FCEV auf der IAA Transportation 2022</w:t>
            </w:r>
          </w:p>
          <w:p w14:paraId="0C907AD8" w14:textId="353B3068" w:rsidR="00EF6D8C" w:rsidRDefault="00EF6D8C" w:rsidP="00F63FEA">
            <w:pPr>
              <w:spacing w:line="324" w:lineRule="auto"/>
              <w:ind w:right="597"/>
              <w:rPr>
                <w:rFonts w:cstheme="minorHAnsi"/>
                <w:b/>
                <w:noProof/>
              </w:rPr>
            </w:pPr>
          </w:p>
        </w:tc>
        <w:tc>
          <w:tcPr>
            <w:tcW w:w="4673" w:type="dxa"/>
          </w:tcPr>
          <w:p w14:paraId="2FE9B4E8" w14:textId="77777777" w:rsidR="00BB3C6E" w:rsidRDefault="00373634" w:rsidP="00F63FEA">
            <w:pPr>
              <w:spacing w:line="324" w:lineRule="auto"/>
              <w:ind w:right="597"/>
              <w:rPr>
                <w:rFonts w:cstheme="minorHAnsi"/>
                <w:b/>
              </w:rPr>
            </w:pPr>
            <w:r>
              <w:rPr>
                <w:noProof/>
              </w:rPr>
              <w:drawing>
                <wp:inline distT="0" distB="0" distL="0" distR="0" wp14:anchorId="7865848C" wp14:editId="5349347B">
                  <wp:extent cx="2559600" cy="1706400"/>
                  <wp:effectExtent l="0" t="0" r="0" b="8255"/>
                  <wp:docPr id="7" name="Grafik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9600" cy="1706400"/>
                          </a:xfrm>
                          <a:prstGeom prst="rect">
                            <a:avLst/>
                          </a:prstGeom>
                          <a:noFill/>
                          <a:ln>
                            <a:noFill/>
                          </a:ln>
                        </pic:spPr>
                      </pic:pic>
                    </a:graphicData>
                  </a:graphic>
                </wp:inline>
              </w:drawing>
            </w:r>
          </w:p>
          <w:p w14:paraId="1DC57255" w14:textId="142BEF6E" w:rsidR="00B64928" w:rsidRPr="00FF6FF7" w:rsidRDefault="00B64928" w:rsidP="00F63FEA">
            <w:pPr>
              <w:spacing w:line="324" w:lineRule="auto"/>
              <w:ind w:right="597"/>
              <w:rPr>
                <w:rFonts w:cstheme="minorHAnsi"/>
                <w:bCs/>
              </w:rPr>
            </w:pPr>
            <w:r w:rsidRPr="00FF6FF7">
              <w:rPr>
                <w:rFonts w:cstheme="minorHAnsi"/>
                <w:bCs/>
              </w:rPr>
              <w:t xml:space="preserve">FCmove™-XD 120 kW </w:t>
            </w:r>
            <w:r w:rsidR="007974B4" w:rsidRPr="00FF6FF7">
              <w:rPr>
                <w:rFonts w:cstheme="minorHAnsi"/>
              </w:rPr>
              <w:t>Brennstoffzelle von</w:t>
            </w:r>
            <w:r w:rsidRPr="00FF6FF7">
              <w:rPr>
                <w:rFonts w:cstheme="minorHAnsi"/>
                <w:bCs/>
              </w:rPr>
              <w:t xml:space="preserve"> Ballard Power Systems</w:t>
            </w:r>
          </w:p>
        </w:tc>
      </w:tr>
      <w:tr w:rsidR="00373634" w14:paraId="08DB7691" w14:textId="77777777" w:rsidTr="00373634">
        <w:tc>
          <w:tcPr>
            <w:tcW w:w="4673" w:type="dxa"/>
          </w:tcPr>
          <w:p w14:paraId="1444AF71" w14:textId="77777777" w:rsidR="0093752A" w:rsidRDefault="00531FDA" w:rsidP="00F63FEA">
            <w:pPr>
              <w:spacing w:line="324" w:lineRule="auto"/>
              <w:ind w:right="597"/>
              <w:rPr>
                <w:rFonts w:cstheme="minorHAnsi"/>
                <w:b/>
              </w:rPr>
            </w:pPr>
            <w:r>
              <w:rPr>
                <w:rFonts w:cstheme="minorHAnsi"/>
                <w:b/>
                <w:noProof/>
              </w:rPr>
              <w:drawing>
                <wp:inline distT="0" distB="0" distL="0" distR="0" wp14:anchorId="4295E43F" wp14:editId="79CAA99D">
                  <wp:extent cx="2559878" cy="1440000"/>
                  <wp:effectExtent l="0" t="0" r="0" b="8255"/>
                  <wp:docPr id="1" name="Grafik 1" descr="Ein Bild, das Licht, Nachthimmel enthält.&#10;&#10;Automatisch generierte Beschreibu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Licht, Nachthimmel enthält.&#10;&#10;Automatisch generierte Beschreibung">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559878" cy="1440000"/>
                          </a:xfrm>
                          <a:prstGeom prst="rect">
                            <a:avLst/>
                          </a:prstGeom>
                        </pic:spPr>
                      </pic:pic>
                    </a:graphicData>
                  </a:graphic>
                </wp:inline>
              </w:drawing>
            </w:r>
          </w:p>
          <w:p w14:paraId="7B939A39" w14:textId="5D57B27D" w:rsidR="006832BF" w:rsidRPr="006832BF" w:rsidRDefault="00EF0A78" w:rsidP="006832BF">
            <w:pPr>
              <w:spacing w:line="324" w:lineRule="auto"/>
              <w:rPr>
                <w:rFonts w:cstheme="minorHAnsi"/>
              </w:rPr>
            </w:pPr>
            <w:r>
              <w:rPr>
                <w:rFonts w:cstheme="minorHAnsi"/>
              </w:rPr>
              <w:t>Die Brennstoffzelle von Ballard Power Systems</w:t>
            </w:r>
            <w:r w:rsidR="007B69A6">
              <w:rPr>
                <w:rFonts w:cstheme="minorHAnsi"/>
              </w:rPr>
              <w:t xml:space="preserve">, eingebaut im </w:t>
            </w:r>
            <w:r w:rsidR="006832BF" w:rsidRPr="006224C0">
              <w:rPr>
                <w:rFonts w:cstheme="minorHAnsi"/>
              </w:rPr>
              <w:t>QUANTRON QHM FCEV</w:t>
            </w:r>
          </w:p>
        </w:tc>
        <w:tc>
          <w:tcPr>
            <w:tcW w:w="4673" w:type="dxa"/>
          </w:tcPr>
          <w:p w14:paraId="41876E69" w14:textId="77777777" w:rsidR="0093752A" w:rsidRDefault="0093752A" w:rsidP="00F63FEA">
            <w:pPr>
              <w:spacing w:line="324" w:lineRule="auto"/>
              <w:ind w:right="597"/>
              <w:rPr>
                <w:rFonts w:cstheme="minorHAnsi"/>
                <w:b/>
              </w:rPr>
            </w:pPr>
          </w:p>
          <w:p w14:paraId="327228E9" w14:textId="77777777" w:rsidR="00BB3C6E" w:rsidRDefault="00BB3C6E" w:rsidP="00F63FEA">
            <w:pPr>
              <w:spacing w:line="324" w:lineRule="auto"/>
              <w:ind w:right="597"/>
              <w:rPr>
                <w:rFonts w:cstheme="minorHAnsi"/>
                <w:b/>
              </w:rPr>
            </w:pPr>
          </w:p>
          <w:p w14:paraId="4EBDB714" w14:textId="77777777" w:rsidR="00BB3C6E" w:rsidRDefault="00BB3C6E" w:rsidP="00F63FEA">
            <w:pPr>
              <w:spacing w:line="324" w:lineRule="auto"/>
              <w:ind w:right="597"/>
              <w:rPr>
                <w:rFonts w:cstheme="minorHAnsi"/>
                <w:b/>
              </w:rPr>
            </w:pPr>
          </w:p>
          <w:p w14:paraId="37EFCC46" w14:textId="77777777" w:rsidR="00BB3C6E" w:rsidRDefault="00BB3C6E" w:rsidP="00F63FEA">
            <w:pPr>
              <w:spacing w:line="324" w:lineRule="auto"/>
              <w:ind w:right="597"/>
              <w:rPr>
                <w:rFonts w:cstheme="minorHAnsi"/>
                <w:b/>
              </w:rPr>
            </w:pPr>
          </w:p>
          <w:p w14:paraId="0EC15962" w14:textId="77777777" w:rsidR="00BB3C6E" w:rsidRDefault="00BB3C6E" w:rsidP="00F63FEA">
            <w:pPr>
              <w:spacing w:line="324" w:lineRule="auto"/>
              <w:ind w:right="597"/>
              <w:rPr>
                <w:rFonts w:cstheme="minorHAnsi"/>
                <w:b/>
              </w:rPr>
            </w:pPr>
          </w:p>
          <w:p w14:paraId="438B82A8" w14:textId="77777777" w:rsidR="00BB3C6E" w:rsidRDefault="00BB3C6E" w:rsidP="00F63FEA">
            <w:pPr>
              <w:spacing w:line="324" w:lineRule="auto"/>
              <w:ind w:right="597"/>
              <w:rPr>
                <w:rFonts w:cstheme="minorHAnsi"/>
                <w:b/>
              </w:rPr>
            </w:pPr>
          </w:p>
          <w:p w14:paraId="689074BD" w14:textId="6161A83F" w:rsidR="00BB3C6E" w:rsidRDefault="00BB3C6E" w:rsidP="00F63FEA">
            <w:pPr>
              <w:spacing w:line="324" w:lineRule="auto"/>
              <w:ind w:right="597"/>
              <w:rPr>
                <w:rFonts w:cstheme="minorHAnsi"/>
                <w:b/>
              </w:rPr>
            </w:pPr>
          </w:p>
        </w:tc>
      </w:tr>
    </w:tbl>
    <w:p w14:paraId="65DE3B4B" w14:textId="77777777" w:rsidR="00AE78E4" w:rsidRDefault="00AE78E4" w:rsidP="002D0904">
      <w:pPr>
        <w:spacing w:after="0" w:line="324" w:lineRule="auto"/>
        <w:rPr>
          <w:rFonts w:cstheme="minorHAnsi"/>
        </w:rPr>
      </w:pPr>
    </w:p>
    <w:p w14:paraId="412A1F27" w14:textId="77777777" w:rsidR="00EB4F56" w:rsidRDefault="00EB4F56" w:rsidP="002D0904">
      <w:pPr>
        <w:spacing w:after="0" w:line="324" w:lineRule="auto"/>
        <w:rPr>
          <w:rFonts w:cstheme="minorHAnsi"/>
        </w:rPr>
      </w:pPr>
    </w:p>
    <w:p w14:paraId="271271BA" w14:textId="77777777" w:rsidR="007974B4" w:rsidRDefault="007974B4" w:rsidP="002D0904">
      <w:pPr>
        <w:spacing w:after="0" w:line="324" w:lineRule="auto"/>
        <w:rPr>
          <w:rFonts w:cstheme="minorHAnsi"/>
        </w:rPr>
      </w:pP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lastRenderedPageBreak/>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Hightech-Spinoff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Mit dem </w:t>
      </w:r>
      <w:r>
        <w:rPr>
          <w:rStyle w:val="normaltextrun"/>
          <w:rFonts w:ascii="Calibri" w:hAnsi="Calibri" w:cs="Calibri"/>
          <w:b/>
          <w:bCs/>
          <w:i/>
          <w:iCs/>
          <w:sz w:val="20"/>
          <w:szCs w:val="20"/>
        </w:rPr>
        <w:t>Quantron-as-a-Service Ecosystem</w:t>
      </w:r>
      <w:r>
        <w:rPr>
          <w:rStyle w:val="normaltextrun"/>
          <w:rFonts w:ascii="Calibri" w:hAnsi="Calibri" w:cs="Calibri"/>
          <w:i/>
          <w:iCs/>
          <w:sz w:val="20"/>
          <w:szCs w:val="20"/>
        </w:rPr>
        <w:t xml:space="preserve"> (QaaS)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 Zudem vertreibt die Quantron AG Batterien und integrierte maßgeschneiderte Elektrifizierungskonzepte. </w:t>
      </w:r>
      <w:r>
        <w:rPr>
          <w:rStyle w:val="normaltextrun"/>
          <w:rFonts w:ascii="Calibri" w:hAnsi="Calibri" w:cs="Calibri"/>
          <w:b/>
          <w:bCs/>
          <w:i/>
          <w:iCs/>
          <w:sz w:val="20"/>
          <w:szCs w:val="20"/>
        </w:rPr>
        <w:t>QUANTRON CUSTOMER CARE</w:t>
      </w:r>
      <w:r>
        <w:rPr>
          <w:rStyle w:val="normaltextrun"/>
          <w:rFonts w:ascii="Calibri" w:hAnsi="Calibri" w:cs="Calibri"/>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Hydrogen Alliance bildet gleichzeitig auch einen wichtigen Baustein für </w:t>
      </w:r>
      <w:r>
        <w:rPr>
          <w:rStyle w:val="normaltextrun"/>
          <w:rFonts w:ascii="Calibri" w:hAnsi="Calibri" w:cs="Calibri"/>
          <w:b/>
          <w:bCs/>
          <w:i/>
          <w:iCs/>
          <w:sz w:val="20"/>
          <w:szCs w:val="20"/>
        </w:rPr>
        <w:t>QUANRTON POWER STATION</w:t>
      </w:r>
      <w:r>
        <w:rPr>
          <w:rStyle w:val="normaltextrun"/>
          <w:rFonts w:ascii="Calibri" w:hAnsi="Calibri" w:cs="Calibri"/>
          <w:i/>
          <w:iCs/>
          <w:sz w:val="20"/>
          <w:szCs w:val="20"/>
        </w:rPr>
        <w:t>, die Versorgung von Fahrzeugen mit der notwendigen grünen Lade- und H2-Tank-Infrastruktur.</w:t>
      </w:r>
      <w:r>
        <w:rPr>
          <w:rStyle w:val="eop"/>
          <w:rFonts w:ascii="Calibri" w:hAnsi="Calibri" w:cs="Calibri"/>
          <w:sz w:val="20"/>
          <w:szCs w:val="20"/>
        </w:rPr>
        <w:t> </w:t>
      </w:r>
    </w:p>
    <w:p w14:paraId="4F031DB3" w14:textId="77777777"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 Weitere Informationen unter </w:t>
      </w:r>
      <w:hyperlink r:id="rId19" w:tgtFrame="_blank" w:history="1">
        <w:r>
          <w:rPr>
            <w:rStyle w:val="normaltextrun"/>
            <w:rFonts w:ascii="Calibri" w:hAnsi="Calibri" w:cs="Calibri"/>
            <w:i/>
            <w:iCs/>
            <w:color w:val="0000FF"/>
            <w:sz w:val="20"/>
            <w:szCs w:val="20"/>
            <w:u w:val="single"/>
          </w:rPr>
          <w:t>www.quantron.net</w:t>
        </w:r>
      </w:hyperlink>
      <w:r>
        <w:rPr>
          <w:rStyle w:val="eop"/>
          <w:rFonts w:ascii="Calibri" w:hAnsi="Calibri" w:cs="Calibri"/>
          <w:sz w:val="20"/>
          <w:szCs w:val="20"/>
        </w:rPr>
        <w:t> </w:t>
      </w:r>
    </w:p>
    <w:p w14:paraId="459736EA" w14:textId="77777777" w:rsidR="00DC162F" w:rsidRPr="00326E19" w:rsidRDefault="00DC162F" w:rsidP="00012157">
      <w:pPr>
        <w:pStyle w:val="paragraph"/>
        <w:spacing w:before="240" w:beforeAutospacing="0" w:after="0" w:afterAutospacing="0"/>
        <w:jc w:val="both"/>
        <w:textAlignment w:val="baseline"/>
        <w:rPr>
          <w:rFonts w:ascii="Segoe UI" w:hAnsi="Segoe UI" w:cs="Segoe UI"/>
          <w:sz w:val="18"/>
          <w:szCs w:val="18"/>
          <w:lang w:val="en-US"/>
        </w:rPr>
      </w:pPr>
      <w:r>
        <w:rPr>
          <w:rStyle w:val="normaltextrun"/>
          <w:rFonts w:ascii="Calibri" w:hAnsi="Calibri" w:cs="Calibri"/>
          <w:i/>
          <w:iCs/>
          <w:sz w:val="20"/>
          <w:szCs w:val="20"/>
        </w:rPr>
        <w:t xml:space="preserve">Besuchen Sie die Quantron AG auf unseren Social Media Kanälen bei </w:t>
      </w:r>
      <w:hyperlink r:id="rId20"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21"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r>
        <w:rPr>
          <w:rStyle w:val="normaltextrun"/>
          <w:rFonts w:ascii="Calibri" w:hAnsi="Calibri" w:cs="Calibri"/>
          <w:i/>
          <w:iCs/>
          <w:sz w:val="20"/>
          <w:szCs w:val="20"/>
          <w:lang w:val="en-US"/>
        </w:rPr>
        <w:t xml:space="preserve">Weitere Informationen unter </w:t>
      </w:r>
      <w:hyperlink r:id="rId22" w:tgtFrame="_blank" w:history="1">
        <w:r>
          <w:rPr>
            <w:rStyle w:val="normaltextrun"/>
            <w:rFonts w:ascii="Calibri" w:hAnsi="Calibri" w:cs="Calibri"/>
            <w:i/>
            <w:iCs/>
            <w:color w:val="0000FF"/>
            <w:sz w:val="20"/>
            <w:szCs w:val="20"/>
            <w:u w:val="single"/>
            <w:lang w:val="en-US"/>
          </w:rPr>
          <w:t>www.quantron.net</w:t>
        </w:r>
      </w:hyperlink>
      <w:r w:rsidRPr="00326E19">
        <w:rPr>
          <w:rStyle w:val="eop"/>
          <w:rFonts w:ascii="Calibri" w:hAnsi="Calibri" w:cs="Calibri"/>
          <w:sz w:val="20"/>
          <w:szCs w:val="20"/>
          <w:lang w:val="en-US"/>
        </w:rPr>
        <w:t> </w:t>
      </w:r>
    </w:p>
    <w:p w14:paraId="55229582" w14:textId="77777777" w:rsidR="00DC162F" w:rsidRPr="00326E19" w:rsidRDefault="00DC162F" w:rsidP="00DC162F">
      <w:pPr>
        <w:pStyle w:val="paragraph"/>
        <w:spacing w:before="0" w:beforeAutospacing="0" w:after="0" w:afterAutospacing="0"/>
        <w:textAlignment w:val="baseline"/>
        <w:rPr>
          <w:rFonts w:ascii="Segoe UI" w:hAnsi="Segoe UI" w:cs="Segoe UI"/>
          <w:sz w:val="18"/>
          <w:szCs w:val="18"/>
          <w:lang w:val="en-US"/>
        </w:rPr>
      </w:pPr>
      <w:r w:rsidRPr="00326E19">
        <w:rPr>
          <w:rStyle w:val="eop"/>
          <w:rFonts w:ascii="Calibri" w:hAnsi="Calibri" w:cs="Calibri"/>
          <w:sz w:val="20"/>
          <w:szCs w:val="20"/>
          <w:lang w:val="en-US"/>
        </w:rPr>
        <w:t> </w:t>
      </w:r>
    </w:p>
    <w:p w14:paraId="2ACE88A6" w14:textId="77777777" w:rsidR="00DC162F" w:rsidRPr="00326E19"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r w:rsidRPr="00DC162F">
        <w:rPr>
          <w:rStyle w:val="normaltextrun"/>
          <w:rFonts w:asciiTheme="minorHAnsi" w:hAnsiTheme="minorHAnsi" w:cstheme="minorHAnsi"/>
          <w:b/>
          <w:bCs/>
          <w:sz w:val="22"/>
          <w:szCs w:val="22"/>
          <w:lang w:val="en-US"/>
        </w:rPr>
        <w:t>Ansprechpartner: </w:t>
      </w:r>
      <w:r w:rsidRPr="00326E19">
        <w:rPr>
          <w:rStyle w:val="eop"/>
          <w:rFonts w:asciiTheme="minorHAnsi" w:hAnsiTheme="minorHAnsi" w:cstheme="minorHAnsi"/>
          <w:sz w:val="22"/>
          <w:szCs w:val="22"/>
          <w:lang w:val="en-US"/>
        </w:rPr>
        <w:t> </w:t>
      </w:r>
    </w:p>
    <w:p w14:paraId="505D1BC6" w14:textId="77777777" w:rsidR="00DC162F" w:rsidRPr="00326E19"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en-US"/>
        </w:rPr>
        <w:t xml:space="preserve">Martin Lischka, Head of Marketing &amp; Communications Quantron AG, </w:t>
      </w:r>
      <w:hyperlink r:id="rId23" w:tgtFrame="_blank" w:history="1">
        <w:r>
          <w:rPr>
            <w:rStyle w:val="normaltextrun"/>
            <w:rFonts w:ascii="Calibri" w:hAnsi="Calibri" w:cs="Calibri"/>
            <w:color w:val="0000FF"/>
            <w:sz w:val="22"/>
            <w:szCs w:val="22"/>
            <w:u w:val="single"/>
            <w:lang w:val="fr-BE"/>
          </w:rPr>
          <w:t>m.lischka@quantron.net</w:t>
        </w:r>
      </w:hyperlink>
      <w:r w:rsidRPr="00326E19">
        <w:rPr>
          <w:rStyle w:val="eop"/>
          <w:rFonts w:ascii="Calibri" w:hAnsi="Calibri" w:cs="Calibri"/>
          <w:sz w:val="22"/>
          <w:szCs w:val="22"/>
          <w:lang w:val="en-US"/>
        </w:rPr>
        <w:t> </w:t>
      </w:r>
    </w:p>
    <w:p w14:paraId="1EFF621C" w14:textId="77777777" w:rsidR="00DC162F" w:rsidRPr="00326E19"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fr-BE"/>
        </w:rPr>
        <w:t xml:space="preserve">Stephanie Miller, Marketing &amp; Communications Quantron AG, </w:t>
      </w:r>
      <w:hyperlink r:id="rId24" w:tgtFrame="_blank" w:history="1">
        <w:r>
          <w:rPr>
            <w:rStyle w:val="normaltextrun"/>
            <w:rFonts w:ascii="Calibri" w:hAnsi="Calibri" w:cs="Calibri"/>
            <w:color w:val="0000FF"/>
            <w:sz w:val="22"/>
            <w:szCs w:val="22"/>
            <w:u w:val="single"/>
            <w:lang w:val="fr-BE"/>
          </w:rPr>
          <w:t>presse@quantron.net</w:t>
        </w:r>
      </w:hyperlink>
      <w:r w:rsidRPr="00326E19">
        <w:rPr>
          <w:rStyle w:val="eop"/>
          <w:rFonts w:ascii="Calibri" w:hAnsi="Calibri" w:cs="Calibri"/>
          <w:sz w:val="22"/>
          <w:szCs w:val="22"/>
          <w:lang w:val="en-US"/>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5"/>
      <w:footerReference w:type="default" r:id="rId2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8CE81" w14:textId="77777777" w:rsidR="00DE57A9" w:rsidRDefault="00DE57A9" w:rsidP="00AE78E4">
      <w:pPr>
        <w:spacing w:after="0" w:line="240" w:lineRule="auto"/>
      </w:pPr>
      <w:r>
        <w:separator/>
      </w:r>
    </w:p>
  </w:endnote>
  <w:endnote w:type="continuationSeparator" w:id="0">
    <w:p w14:paraId="776F2F7C" w14:textId="77777777" w:rsidR="00DE57A9" w:rsidRDefault="00DE57A9" w:rsidP="00AE78E4">
      <w:pPr>
        <w:spacing w:after="0" w:line="240" w:lineRule="auto"/>
      </w:pPr>
      <w:r>
        <w:continuationSeparator/>
      </w:r>
    </w:p>
  </w:endnote>
  <w:endnote w:type="continuationNotice" w:id="1">
    <w:p w14:paraId="108D2984" w14:textId="77777777" w:rsidR="00DE57A9" w:rsidRDefault="00DE5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D93E" w14:textId="77777777" w:rsidR="00DE57A9" w:rsidRDefault="00DE57A9" w:rsidP="00AE78E4">
      <w:pPr>
        <w:spacing w:after="0" w:line="240" w:lineRule="auto"/>
      </w:pPr>
      <w:r>
        <w:separator/>
      </w:r>
    </w:p>
  </w:footnote>
  <w:footnote w:type="continuationSeparator" w:id="0">
    <w:p w14:paraId="133404A1" w14:textId="77777777" w:rsidR="00DE57A9" w:rsidRDefault="00DE57A9" w:rsidP="00AE78E4">
      <w:pPr>
        <w:spacing w:after="0" w:line="240" w:lineRule="auto"/>
      </w:pPr>
      <w:r>
        <w:continuationSeparator/>
      </w:r>
    </w:p>
  </w:footnote>
  <w:footnote w:type="continuationNotice" w:id="1">
    <w:p w14:paraId="67A0EA07" w14:textId="77777777" w:rsidR="00DE57A9" w:rsidRDefault="00DE57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79554DAD" w:rsidR="00AE78E4" w:rsidRPr="009F6532" w:rsidRDefault="00D63B73" w:rsidP="001A0965">
    <w:pPr>
      <w:pStyle w:val="Kopfzeile"/>
      <w:rPr>
        <w:lang w:val="en-US"/>
      </w:rPr>
    </w:pPr>
    <w:r>
      <w:rPr>
        <w:noProof/>
      </w:rPr>
      <w:drawing>
        <wp:anchor distT="0" distB="0" distL="114300" distR="114300" simplePos="0" relativeHeight="251658242" behindDoc="0" locked="0" layoutInCell="1" allowOverlap="1" wp14:anchorId="3AAAF22B" wp14:editId="2101BD74">
          <wp:simplePos x="0" y="0"/>
          <wp:positionH relativeFrom="column">
            <wp:posOffset>-1014095</wp:posOffset>
          </wp:positionH>
          <wp:positionV relativeFrom="paragraph">
            <wp:posOffset>-53975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54DE0"/>
    <w:rsid w:val="000928E5"/>
    <w:rsid w:val="000944FD"/>
    <w:rsid w:val="000B0E81"/>
    <w:rsid w:val="000C6948"/>
    <w:rsid w:val="000C71F9"/>
    <w:rsid w:val="00113E8F"/>
    <w:rsid w:val="00137966"/>
    <w:rsid w:val="001417A9"/>
    <w:rsid w:val="00150D45"/>
    <w:rsid w:val="001536A5"/>
    <w:rsid w:val="00154823"/>
    <w:rsid w:val="00155510"/>
    <w:rsid w:val="0016309B"/>
    <w:rsid w:val="00182B88"/>
    <w:rsid w:val="001839D3"/>
    <w:rsid w:val="001875DD"/>
    <w:rsid w:val="00195C88"/>
    <w:rsid w:val="001A0965"/>
    <w:rsid w:val="001A1178"/>
    <w:rsid w:val="001A52B1"/>
    <w:rsid w:val="001B63EE"/>
    <w:rsid w:val="001C3B18"/>
    <w:rsid w:val="001D75BD"/>
    <w:rsid w:val="001E16CA"/>
    <w:rsid w:val="001E1C2B"/>
    <w:rsid w:val="001E3047"/>
    <w:rsid w:val="001F3857"/>
    <w:rsid w:val="001F402E"/>
    <w:rsid w:val="00212424"/>
    <w:rsid w:val="00217303"/>
    <w:rsid w:val="00221D25"/>
    <w:rsid w:val="0022475E"/>
    <w:rsid w:val="0022565D"/>
    <w:rsid w:val="00225B56"/>
    <w:rsid w:val="002353A6"/>
    <w:rsid w:val="0024135C"/>
    <w:rsid w:val="0025057D"/>
    <w:rsid w:val="0025461D"/>
    <w:rsid w:val="0026162A"/>
    <w:rsid w:val="00262DBB"/>
    <w:rsid w:val="00267DB4"/>
    <w:rsid w:val="00273889"/>
    <w:rsid w:val="00275C5D"/>
    <w:rsid w:val="00277052"/>
    <w:rsid w:val="00293139"/>
    <w:rsid w:val="002975E2"/>
    <w:rsid w:val="002B175F"/>
    <w:rsid w:val="002B310C"/>
    <w:rsid w:val="002C64E1"/>
    <w:rsid w:val="002C7249"/>
    <w:rsid w:val="002D0904"/>
    <w:rsid w:val="002D2A7E"/>
    <w:rsid w:val="002E51EA"/>
    <w:rsid w:val="002E7946"/>
    <w:rsid w:val="002F397F"/>
    <w:rsid w:val="002F5AE4"/>
    <w:rsid w:val="002F6662"/>
    <w:rsid w:val="002F7680"/>
    <w:rsid w:val="00312572"/>
    <w:rsid w:val="003172FA"/>
    <w:rsid w:val="00320FE3"/>
    <w:rsid w:val="0032393F"/>
    <w:rsid w:val="00326E19"/>
    <w:rsid w:val="0036362A"/>
    <w:rsid w:val="00370BC2"/>
    <w:rsid w:val="0037303E"/>
    <w:rsid w:val="00373634"/>
    <w:rsid w:val="00377865"/>
    <w:rsid w:val="003824EA"/>
    <w:rsid w:val="0039042C"/>
    <w:rsid w:val="003A1EF1"/>
    <w:rsid w:val="003B237E"/>
    <w:rsid w:val="003B3794"/>
    <w:rsid w:val="003C0EF8"/>
    <w:rsid w:val="003C6BB1"/>
    <w:rsid w:val="003E700E"/>
    <w:rsid w:val="003F1AAC"/>
    <w:rsid w:val="003F6267"/>
    <w:rsid w:val="003F63B3"/>
    <w:rsid w:val="00401889"/>
    <w:rsid w:val="00426A04"/>
    <w:rsid w:val="004462EB"/>
    <w:rsid w:val="004610D8"/>
    <w:rsid w:val="00472A78"/>
    <w:rsid w:val="00473615"/>
    <w:rsid w:val="00475C54"/>
    <w:rsid w:val="00480C56"/>
    <w:rsid w:val="00482D7B"/>
    <w:rsid w:val="0048625B"/>
    <w:rsid w:val="004954AD"/>
    <w:rsid w:val="00497B37"/>
    <w:rsid w:val="004A2B2D"/>
    <w:rsid w:val="004B32B0"/>
    <w:rsid w:val="004B3DD1"/>
    <w:rsid w:val="004C6AD0"/>
    <w:rsid w:val="004E1467"/>
    <w:rsid w:val="004F35A7"/>
    <w:rsid w:val="005012F4"/>
    <w:rsid w:val="00504F1D"/>
    <w:rsid w:val="00515CF1"/>
    <w:rsid w:val="005240B0"/>
    <w:rsid w:val="005248CC"/>
    <w:rsid w:val="0052668B"/>
    <w:rsid w:val="00531FDA"/>
    <w:rsid w:val="0053512B"/>
    <w:rsid w:val="00536239"/>
    <w:rsid w:val="005529B3"/>
    <w:rsid w:val="005546AA"/>
    <w:rsid w:val="0056386B"/>
    <w:rsid w:val="00576A09"/>
    <w:rsid w:val="00592440"/>
    <w:rsid w:val="005D2334"/>
    <w:rsid w:val="005D2817"/>
    <w:rsid w:val="005E2014"/>
    <w:rsid w:val="006369DD"/>
    <w:rsid w:val="00671A6F"/>
    <w:rsid w:val="00674CA7"/>
    <w:rsid w:val="006832BF"/>
    <w:rsid w:val="0069112E"/>
    <w:rsid w:val="006B0E2C"/>
    <w:rsid w:val="006B7543"/>
    <w:rsid w:val="006C35E2"/>
    <w:rsid w:val="006E3486"/>
    <w:rsid w:val="006F1B77"/>
    <w:rsid w:val="00705344"/>
    <w:rsid w:val="007059E0"/>
    <w:rsid w:val="007137AB"/>
    <w:rsid w:val="0071558E"/>
    <w:rsid w:val="0071627E"/>
    <w:rsid w:val="00724516"/>
    <w:rsid w:val="0074160C"/>
    <w:rsid w:val="00745FEA"/>
    <w:rsid w:val="00754015"/>
    <w:rsid w:val="007628A4"/>
    <w:rsid w:val="00765BB9"/>
    <w:rsid w:val="00775363"/>
    <w:rsid w:val="00776D92"/>
    <w:rsid w:val="0078500E"/>
    <w:rsid w:val="00790717"/>
    <w:rsid w:val="007974B4"/>
    <w:rsid w:val="007B29FD"/>
    <w:rsid w:val="007B31E6"/>
    <w:rsid w:val="007B69A6"/>
    <w:rsid w:val="007D27BB"/>
    <w:rsid w:val="007D2FC7"/>
    <w:rsid w:val="007E37C8"/>
    <w:rsid w:val="007E5F19"/>
    <w:rsid w:val="007E6A5C"/>
    <w:rsid w:val="007F3AB0"/>
    <w:rsid w:val="007F794D"/>
    <w:rsid w:val="00800482"/>
    <w:rsid w:val="008103CB"/>
    <w:rsid w:val="00811A60"/>
    <w:rsid w:val="008269B4"/>
    <w:rsid w:val="008451F0"/>
    <w:rsid w:val="00846EF3"/>
    <w:rsid w:val="00851F4C"/>
    <w:rsid w:val="0085284F"/>
    <w:rsid w:val="00863593"/>
    <w:rsid w:val="00881FA4"/>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38CA"/>
    <w:rsid w:val="0092229F"/>
    <w:rsid w:val="009248EA"/>
    <w:rsid w:val="00924A44"/>
    <w:rsid w:val="00924DE7"/>
    <w:rsid w:val="009260C6"/>
    <w:rsid w:val="0093752A"/>
    <w:rsid w:val="00940AEE"/>
    <w:rsid w:val="00944B0D"/>
    <w:rsid w:val="00950C10"/>
    <w:rsid w:val="009A1066"/>
    <w:rsid w:val="009A527F"/>
    <w:rsid w:val="009C36C1"/>
    <w:rsid w:val="009C434C"/>
    <w:rsid w:val="009D5F26"/>
    <w:rsid w:val="009D6F5F"/>
    <w:rsid w:val="009E2573"/>
    <w:rsid w:val="009F3E70"/>
    <w:rsid w:val="009F6532"/>
    <w:rsid w:val="00A055C7"/>
    <w:rsid w:val="00A1262D"/>
    <w:rsid w:val="00A12F98"/>
    <w:rsid w:val="00A170CF"/>
    <w:rsid w:val="00A45115"/>
    <w:rsid w:val="00A459AF"/>
    <w:rsid w:val="00A51E69"/>
    <w:rsid w:val="00A53D29"/>
    <w:rsid w:val="00A5551E"/>
    <w:rsid w:val="00A56BC8"/>
    <w:rsid w:val="00A60ED5"/>
    <w:rsid w:val="00A63031"/>
    <w:rsid w:val="00A80F21"/>
    <w:rsid w:val="00A83308"/>
    <w:rsid w:val="00A86FFF"/>
    <w:rsid w:val="00A939FD"/>
    <w:rsid w:val="00A94CE4"/>
    <w:rsid w:val="00A9587D"/>
    <w:rsid w:val="00A9700E"/>
    <w:rsid w:val="00AA2AE9"/>
    <w:rsid w:val="00AA2FA2"/>
    <w:rsid w:val="00AA5B99"/>
    <w:rsid w:val="00AC46E7"/>
    <w:rsid w:val="00AE78E4"/>
    <w:rsid w:val="00B001A2"/>
    <w:rsid w:val="00B22998"/>
    <w:rsid w:val="00B25E92"/>
    <w:rsid w:val="00B31303"/>
    <w:rsid w:val="00B56D88"/>
    <w:rsid w:val="00B60081"/>
    <w:rsid w:val="00B64928"/>
    <w:rsid w:val="00B722E6"/>
    <w:rsid w:val="00B91B2B"/>
    <w:rsid w:val="00BA1CC6"/>
    <w:rsid w:val="00BA2B45"/>
    <w:rsid w:val="00BA6AD9"/>
    <w:rsid w:val="00BB3C6E"/>
    <w:rsid w:val="00BB5FB5"/>
    <w:rsid w:val="00BC3CCE"/>
    <w:rsid w:val="00BC49AA"/>
    <w:rsid w:val="00BC7E72"/>
    <w:rsid w:val="00BE057C"/>
    <w:rsid w:val="00BE073B"/>
    <w:rsid w:val="00BE66F2"/>
    <w:rsid w:val="00BF554C"/>
    <w:rsid w:val="00BF688A"/>
    <w:rsid w:val="00C122D5"/>
    <w:rsid w:val="00C443F4"/>
    <w:rsid w:val="00C44DDA"/>
    <w:rsid w:val="00C45A18"/>
    <w:rsid w:val="00C63172"/>
    <w:rsid w:val="00C63E4C"/>
    <w:rsid w:val="00C74C0E"/>
    <w:rsid w:val="00C753DB"/>
    <w:rsid w:val="00C84747"/>
    <w:rsid w:val="00C867F7"/>
    <w:rsid w:val="00C96478"/>
    <w:rsid w:val="00CC27C4"/>
    <w:rsid w:val="00CD2992"/>
    <w:rsid w:val="00CE5E8B"/>
    <w:rsid w:val="00CF1072"/>
    <w:rsid w:val="00CF77BF"/>
    <w:rsid w:val="00D013A4"/>
    <w:rsid w:val="00D040AD"/>
    <w:rsid w:val="00D13641"/>
    <w:rsid w:val="00D17B51"/>
    <w:rsid w:val="00D17C43"/>
    <w:rsid w:val="00D21EE9"/>
    <w:rsid w:val="00D279A5"/>
    <w:rsid w:val="00D34006"/>
    <w:rsid w:val="00D3593D"/>
    <w:rsid w:val="00D4442A"/>
    <w:rsid w:val="00D44F76"/>
    <w:rsid w:val="00D46BFB"/>
    <w:rsid w:val="00D4707E"/>
    <w:rsid w:val="00D51998"/>
    <w:rsid w:val="00D5225F"/>
    <w:rsid w:val="00D63B73"/>
    <w:rsid w:val="00D7496D"/>
    <w:rsid w:val="00D773AD"/>
    <w:rsid w:val="00D821DF"/>
    <w:rsid w:val="00D86D4D"/>
    <w:rsid w:val="00D90DAF"/>
    <w:rsid w:val="00D93C73"/>
    <w:rsid w:val="00DA6252"/>
    <w:rsid w:val="00DC162F"/>
    <w:rsid w:val="00DC25C2"/>
    <w:rsid w:val="00DC4FE8"/>
    <w:rsid w:val="00DC6508"/>
    <w:rsid w:val="00DD3D1C"/>
    <w:rsid w:val="00DE1DCF"/>
    <w:rsid w:val="00DE2364"/>
    <w:rsid w:val="00DE27C9"/>
    <w:rsid w:val="00DE57A9"/>
    <w:rsid w:val="00DF5878"/>
    <w:rsid w:val="00E10279"/>
    <w:rsid w:val="00E13E09"/>
    <w:rsid w:val="00E172A6"/>
    <w:rsid w:val="00E35B4F"/>
    <w:rsid w:val="00E3707F"/>
    <w:rsid w:val="00E37365"/>
    <w:rsid w:val="00E44092"/>
    <w:rsid w:val="00E512CE"/>
    <w:rsid w:val="00E55CD3"/>
    <w:rsid w:val="00E6472E"/>
    <w:rsid w:val="00E7139B"/>
    <w:rsid w:val="00E767EC"/>
    <w:rsid w:val="00E82908"/>
    <w:rsid w:val="00E87805"/>
    <w:rsid w:val="00EA7185"/>
    <w:rsid w:val="00EB04DB"/>
    <w:rsid w:val="00EB1D0B"/>
    <w:rsid w:val="00EB4F56"/>
    <w:rsid w:val="00EC49F0"/>
    <w:rsid w:val="00EC5ECD"/>
    <w:rsid w:val="00ED4FE7"/>
    <w:rsid w:val="00EF0A78"/>
    <w:rsid w:val="00EF6D8C"/>
    <w:rsid w:val="00F04C31"/>
    <w:rsid w:val="00F05EA4"/>
    <w:rsid w:val="00F1572B"/>
    <w:rsid w:val="00F3742E"/>
    <w:rsid w:val="00F60238"/>
    <w:rsid w:val="00F60B9A"/>
    <w:rsid w:val="00F63FEA"/>
    <w:rsid w:val="00F6765B"/>
    <w:rsid w:val="00F72981"/>
    <w:rsid w:val="00F75858"/>
    <w:rsid w:val="00F75CA4"/>
    <w:rsid w:val="00FA306B"/>
    <w:rsid w:val="00FB3497"/>
    <w:rsid w:val="00FB59B4"/>
    <w:rsid w:val="00FC199F"/>
    <w:rsid w:val="00FC3F3F"/>
    <w:rsid w:val="00FC6EB1"/>
    <w:rsid w:val="00FD0042"/>
    <w:rsid w:val="00FD41AC"/>
    <w:rsid w:val="00FD5A97"/>
    <w:rsid w:val="00FD7CBB"/>
    <w:rsid w:val="00FF0798"/>
    <w:rsid w:val="00FF6FF7"/>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34022C6C-06AE-41F8-BB36-9FAA8F734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StandardWeb">
    <w:name w:val="Normal (Web)"/>
    <w:basedOn w:val="Standard"/>
    <w:uiPriority w:val="99"/>
    <w:semiHidden/>
    <w:unhideWhenUsed/>
    <w:rsid w:val="00326E1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711001185">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19429079">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2/09/QUANTRON_QHM_FCEV_IAA_Transportation_2022.png"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youtube.com/channel/UCDQ-CKkS8XMHcJ9Ze-6UVNA" TargetMode="Externa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hyperlink" Target="https://www.quantron.net/wp-content/uploads/2022/09/QUANTRON_QHM_FCEV_Ballard_Fuel_Cell-scaled.jp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linkedin.com/company/quantron-a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q-news/pr-berichte/" TargetMode="External"/><Relationship Id="rId24" Type="http://schemas.openxmlformats.org/officeDocument/2006/relationships/hyperlink" Target="mailto:presse@quantron.net" TargetMode="External"/><Relationship Id="rId5" Type="http://schemas.openxmlformats.org/officeDocument/2006/relationships/numbering" Target="numbering.xml"/><Relationship Id="rId15" Type="http://schemas.openxmlformats.org/officeDocument/2006/relationships/hyperlink" Target="https://www.quantron.net/wp-content/uploads/2022/09/QUANTRON_QHM_FCEV_Fuel_cell-scaled.jpg" TargetMode="External"/><Relationship Id="rId23" Type="http://schemas.openxmlformats.org/officeDocument/2006/relationships/hyperlink" Target="mailto:m.lischka@quantron.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quantron.net/"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7" ma:contentTypeDescription="Ein neues Dokument erstellen." ma:contentTypeScope="" ma:versionID="2f8969902d317e95f1d75999ff897124">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e0f2eac82422d6e2e7485cd9ad7750df"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3D898C55-08C7-4040-B871-4493F8B66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7917</CharactersWithSpaces>
  <SharedDoc>false</SharedDoc>
  <HLinks>
    <vt:vector size="48" baseType="variant">
      <vt:variant>
        <vt:i4>5832814</vt:i4>
      </vt:variant>
      <vt:variant>
        <vt:i4>21</vt:i4>
      </vt:variant>
      <vt:variant>
        <vt:i4>0</vt:i4>
      </vt:variant>
      <vt:variant>
        <vt:i4>5</vt:i4>
      </vt:variant>
      <vt:variant>
        <vt:lpwstr>mailto:presse@quantron.net</vt:lpwstr>
      </vt:variant>
      <vt:variant>
        <vt:lpwstr/>
      </vt:variant>
      <vt:variant>
        <vt:i4>5832748</vt:i4>
      </vt:variant>
      <vt:variant>
        <vt:i4>18</vt:i4>
      </vt:variant>
      <vt:variant>
        <vt:i4>0</vt:i4>
      </vt:variant>
      <vt:variant>
        <vt:i4>5</vt:i4>
      </vt:variant>
      <vt:variant>
        <vt:lpwstr>mailto:m.lischka@quantron.net</vt:lpwstr>
      </vt:variant>
      <vt:variant>
        <vt:lpwstr/>
      </vt:variant>
      <vt:variant>
        <vt:i4>4456525</vt:i4>
      </vt:variant>
      <vt:variant>
        <vt:i4>15</vt:i4>
      </vt:variant>
      <vt:variant>
        <vt:i4>0</vt:i4>
      </vt:variant>
      <vt:variant>
        <vt:i4>5</vt:i4>
      </vt:variant>
      <vt:variant>
        <vt:lpwstr>http://www.quantron.net/</vt:lpwstr>
      </vt:variant>
      <vt:variant>
        <vt:lpwstr/>
      </vt:variant>
      <vt:variant>
        <vt:i4>4325440</vt:i4>
      </vt:variant>
      <vt:variant>
        <vt:i4>12</vt:i4>
      </vt:variant>
      <vt:variant>
        <vt:i4>0</vt:i4>
      </vt:variant>
      <vt:variant>
        <vt:i4>5</vt:i4>
      </vt:variant>
      <vt:variant>
        <vt:lpwstr>https://www.youtube.com/channel/UCDQ-CKkS8XMHcJ9Ze-6UVNA</vt:lpwstr>
      </vt:variant>
      <vt:variant>
        <vt:lpwstr/>
      </vt:variant>
      <vt:variant>
        <vt:i4>1638424</vt:i4>
      </vt:variant>
      <vt:variant>
        <vt:i4>9</vt:i4>
      </vt:variant>
      <vt:variant>
        <vt:i4>0</vt:i4>
      </vt:variant>
      <vt:variant>
        <vt:i4>5</vt:i4>
      </vt:variant>
      <vt:variant>
        <vt:lpwstr>https://www.linkedin.com/company/quantron-ag</vt:lpwstr>
      </vt:variant>
      <vt:variant>
        <vt:lpwstr/>
      </vt:variant>
      <vt:variant>
        <vt:i4>4456525</vt:i4>
      </vt:variant>
      <vt:variant>
        <vt:i4>6</vt:i4>
      </vt:variant>
      <vt:variant>
        <vt:i4>0</vt:i4>
      </vt:variant>
      <vt:variant>
        <vt:i4>5</vt:i4>
      </vt:variant>
      <vt:variant>
        <vt:lpwstr>http://www.quantron.net/</vt:lpwstr>
      </vt:variant>
      <vt:variant>
        <vt:lpwstr/>
      </vt:variant>
      <vt:variant>
        <vt:i4>4718664</vt:i4>
      </vt:variant>
      <vt:variant>
        <vt:i4>3</vt:i4>
      </vt:variant>
      <vt:variant>
        <vt:i4>0</vt:i4>
      </vt:variant>
      <vt:variant>
        <vt:i4>5</vt:i4>
      </vt:variant>
      <vt:variant>
        <vt:lpwstr>https://www.quantron.net/q-news/pr-berichte/</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dc:creator>
  <cp:keywords/>
  <cp:lastModifiedBy>Stephanie Miller | Quantron AG</cp:lastModifiedBy>
  <cp:revision>40</cp:revision>
  <cp:lastPrinted>2022-09-20T22:32:00Z</cp:lastPrinted>
  <dcterms:created xsi:type="dcterms:W3CDTF">2022-09-20T00:26:00Z</dcterms:created>
  <dcterms:modified xsi:type="dcterms:W3CDTF">2022-09-20T14:58:00Z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