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9B3D" w14:textId="77777777" w:rsidR="0056040A" w:rsidRDefault="002D0904" w:rsidP="0056040A">
      <w:pPr>
        <w:tabs>
          <w:tab w:val="right" w:pos="9356"/>
        </w:tabs>
        <w:spacing w:after="0" w:line="360" w:lineRule="auto"/>
        <w:rPr>
          <w:rFonts w:cstheme="minorHAnsi"/>
          <w:sz w:val="18"/>
        </w:rPr>
      </w:pPr>
      <w:r w:rsidRPr="00790717">
        <w:rPr>
          <w:rFonts w:cstheme="minorHAnsi"/>
        </w:rPr>
        <w:t>PRESSEMITTEILUNG</w:t>
      </w:r>
      <w:r w:rsidRPr="00790717">
        <w:rPr>
          <w:rFonts w:cstheme="minorHAnsi"/>
        </w:rPr>
        <w:tab/>
      </w:r>
    </w:p>
    <w:p w14:paraId="751E4084" w14:textId="4FC95E67" w:rsidR="00E83F72" w:rsidRDefault="00E83F72" w:rsidP="00583A07">
      <w:pPr>
        <w:tabs>
          <w:tab w:val="right" w:pos="9356"/>
        </w:tabs>
        <w:spacing w:after="0" w:line="240" w:lineRule="auto"/>
        <w:rPr>
          <w:rFonts w:cstheme="minorHAnsi"/>
          <w:b/>
          <w:bCs/>
          <w:sz w:val="28"/>
          <w:szCs w:val="28"/>
          <w:u w:val="single"/>
        </w:rPr>
      </w:pPr>
      <w:r w:rsidRPr="00435E5D">
        <w:rPr>
          <w:rFonts w:cstheme="minorHAnsi"/>
          <w:b/>
          <w:bCs/>
          <w:sz w:val="28"/>
          <w:szCs w:val="28"/>
          <w:u w:val="single"/>
        </w:rPr>
        <w:t>IAA Transportation</w:t>
      </w:r>
      <w:r w:rsidR="003A1B71">
        <w:rPr>
          <w:rFonts w:cstheme="minorHAnsi"/>
          <w:b/>
          <w:bCs/>
          <w:sz w:val="28"/>
          <w:szCs w:val="28"/>
          <w:u w:val="single"/>
        </w:rPr>
        <w:t xml:space="preserve"> Weltpremieren</w:t>
      </w:r>
      <w:r w:rsidRPr="00435E5D">
        <w:rPr>
          <w:rFonts w:cstheme="minorHAnsi"/>
          <w:b/>
          <w:bCs/>
          <w:sz w:val="28"/>
          <w:szCs w:val="28"/>
          <w:u w:val="single"/>
        </w:rPr>
        <w:t xml:space="preserve">: </w:t>
      </w:r>
      <w:r w:rsidR="00F51765">
        <w:rPr>
          <w:rFonts w:cstheme="minorHAnsi"/>
          <w:sz w:val="18"/>
        </w:rPr>
        <w:br/>
      </w:r>
      <w:r>
        <w:rPr>
          <w:rFonts w:cstheme="minorHAnsi"/>
          <w:b/>
          <w:bCs/>
          <w:sz w:val="28"/>
          <w:szCs w:val="28"/>
          <w:u w:val="single"/>
        </w:rPr>
        <w:t xml:space="preserve">QUANTRON </w:t>
      </w:r>
      <w:r w:rsidR="00C0600C">
        <w:rPr>
          <w:rFonts w:cstheme="minorHAnsi"/>
          <w:b/>
          <w:bCs/>
          <w:sz w:val="28"/>
          <w:szCs w:val="28"/>
          <w:u w:val="single"/>
        </w:rPr>
        <w:t xml:space="preserve">stellt reichweitenstärkste </w:t>
      </w:r>
      <w:r w:rsidR="00555188" w:rsidRPr="00CD7FB2">
        <w:rPr>
          <w:rFonts w:cstheme="minorHAnsi"/>
          <w:b/>
          <w:bCs/>
          <w:sz w:val="28"/>
          <w:szCs w:val="28"/>
          <w:u w:val="single"/>
        </w:rPr>
        <w:t>Wasserstoff-</w:t>
      </w:r>
      <w:r>
        <w:rPr>
          <w:rFonts w:cstheme="minorHAnsi"/>
          <w:b/>
          <w:bCs/>
          <w:sz w:val="28"/>
          <w:szCs w:val="28"/>
          <w:u w:val="single"/>
        </w:rPr>
        <w:t xml:space="preserve"> und Elektro-</w:t>
      </w:r>
      <w:r w:rsidR="00555188" w:rsidRPr="00CD7FB2">
        <w:rPr>
          <w:rFonts w:cstheme="minorHAnsi"/>
          <w:b/>
          <w:bCs/>
          <w:sz w:val="28"/>
          <w:szCs w:val="28"/>
          <w:u w:val="single"/>
        </w:rPr>
        <w:t>Truck</w:t>
      </w:r>
      <w:r w:rsidR="00C0600C">
        <w:rPr>
          <w:rFonts w:cstheme="minorHAnsi"/>
          <w:b/>
          <w:bCs/>
          <w:sz w:val="28"/>
          <w:szCs w:val="28"/>
          <w:u w:val="single"/>
        </w:rPr>
        <w:t xml:space="preserve">s auf Basis neu entwickelter </w:t>
      </w:r>
      <w:r w:rsidR="0013018C">
        <w:rPr>
          <w:rFonts w:cstheme="minorHAnsi"/>
          <w:b/>
          <w:bCs/>
          <w:sz w:val="28"/>
          <w:szCs w:val="28"/>
          <w:u w:val="single"/>
        </w:rPr>
        <w:t>Plattformen</w:t>
      </w:r>
      <w:r w:rsidR="00463E56">
        <w:rPr>
          <w:rFonts w:cstheme="minorHAnsi"/>
          <w:b/>
          <w:bCs/>
          <w:sz w:val="28"/>
          <w:szCs w:val="28"/>
          <w:u w:val="single"/>
        </w:rPr>
        <w:t xml:space="preserve"> </w:t>
      </w:r>
      <w:r w:rsidR="00C0600C">
        <w:rPr>
          <w:rFonts w:cstheme="minorHAnsi"/>
          <w:b/>
          <w:bCs/>
          <w:sz w:val="28"/>
          <w:szCs w:val="28"/>
          <w:u w:val="single"/>
        </w:rPr>
        <w:t>vor</w:t>
      </w:r>
    </w:p>
    <w:p w14:paraId="2CFF97B6" w14:textId="77777777" w:rsidR="00583A07" w:rsidRPr="00F51765" w:rsidRDefault="00583A07" w:rsidP="00583A07">
      <w:pPr>
        <w:tabs>
          <w:tab w:val="right" w:pos="9356"/>
        </w:tabs>
        <w:spacing w:after="0" w:line="240" w:lineRule="auto"/>
        <w:rPr>
          <w:rFonts w:cstheme="minorHAnsi"/>
          <w:sz w:val="18"/>
        </w:rPr>
      </w:pPr>
    </w:p>
    <w:p w14:paraId="635117FE" w14:textId="2EB3FBDE" w:rsidR="00C0600C" w:rsidRDefault="00A31A79" w:rsidP="006C0CAA">
      <w:pPr>
        <w:pStyle w:val="01Flietext"/>
        <w:numPr>
          <w:ilvl w:val="0"/>
          <w:numId w:val="2"/>
        </w:numPr>
        <w:ind w:left="714" w:hanging="357"/>
        <w:contextualSpacing/>
        <w:rPr>
          <w:rFonts w:asciiTheme="minorHAnsi" w:hAnsiTheme="minorHAnsi" w:cstheme="minorHAnsi"/>
          <w:sz w:val="22"/>
          <w:szCs w:val="22"/>
        </w:rPr>
      </w:pPr>
      <w:r w:rsidRPr="00E85F3A">
        <w:rPr>
          <w:rFonts w:asciiTheme="minorHAnsi" w:hAnsiTheme="minorHAnsi" w:cstheme="minorHAnsi"/>
          <w:sz w:val="22"/>
          <w:szCs w:val="22"/>
        </w:rPr>
        <w:t>Weltpremiere</w:t>
      </w:r>
      <w:r w:rsidR="00C0600C">
        <w:rPr>
          <w:rFonts w:asciiTheme="minorHAnsi" w:hAnsiTheme="minorHAnsi" w:cstheme="minorHAnsi"/>
          <w:sz w:val="22"/>
          <w:szCs w:val="22"/>
        </w:rPr>
        <w:t xml:space="preserve"> des </w:t>
      </w:r>
      <w:r w:rsidR="00C0600C" w:rsidRPr="008F1AE5">
        <w:rPr>
          <w:rFonts w:asciiTheme="minorHAnsi" w:hAnsiTheme="minorHAnsi" w:cstheme="minorHAnsi"/>
          <w:b/>
          <w:sz w:val="22"/>
          <w:szCs w:val="22"/>
        </w:rPr>
        <w:t>QUANTRON QHM FCEV</w:t>
      </w:r>
      <w:r w:rsidR="00C0600C">
        <w:rPr>
          <w:rFonts w:asciiTheme="minorHAnsi" w:hAnsiTheme="minorHAnsi" w:cstheme="minorHAnsi"/>
          <w:b/>
          <w:sz w:val="22"/>
          <w:szCs w:val="22"/>
        </w:rPr>
        <w:t xml:space="preserve"> Heavy Truck</w:t>
      </w:r>
      <w:r w:rsidR="00C0600C">
        <w:rPr>
          <w:rFonts w:asciiTheme="minorHAnsi" w:hAnsiTheme="minorHAnsi" w:cstheme="minorHAnsi"/>
          <w:sz w:val="22"/>
          <w:szCs w:val="22"/>
        </w:rPr>
        <w:t xml:space="preserve">, einer </w:t>
      </w:r>
      <w:r w:rsidR="00C0600C" w:rsidRPr="004A03AE">
        <w:rPr>
          <w:rFonts w:asciiTheme="minorHAnsi" w:hAnsiTheme="minorHAnsi" w:cstheme="minorHAnsi"/>
          <w:bCs/>
          <w:sz w:val="22"/>
          <w:szCs w:val="22"/>
        </w:rPr>
        <w:t>Sattelzugmaschine</w:t>
      </w:r>
      <w:r w:rsidR="00C0600C" w:rsidRPr="00C25517">
        <w:rPr>
          <w:rFonts w:asciiTheme="minorHAnsi" w:hAnsiTheme="minorHAnsi" w:cstheme="minorHAnsi"/>
          <w:sz w:val="22"/>
          <w:szCs w:val="22"/>
        </w:rPr>
        <w:t xml:space="preserve"> für </w:t>
      </w:r>
      <w:r w:rsidR="00C0600C" w:rsidRPr="00985FAF">
        <w:rPr>
          <w:rFonts w:asciiTheme="minorHAnsi" w:hAnsiTheme="minorHAnsi" w:cstheme="minorHAnsi"/>
          <w:sz w:val="22"/>
          <w:szCs w:val="22"/>
        </w:rPr>
        <w:t xml:space="preserve">den schweren Fernverkehr im </w:t>
      </w:r>
      <w:r w:rsidR="00C0600C" w:rsidRPr="00C25517">
        <w:rPr>
          <w:rFonts w:asciiTheme="minorHAnsi" w:hAnsiTheme="minorHAnsi" w:cstheme="minorHAnsi"/>
          <w:sz w:val="22"/>
          <w:szCs w:val="22"/>
        </w:rPr>
        <w:t xml:space="preserve">Langstreckeneinsatz </w:t>
      </w:r>
      <w:r w:rsidR="00C0600C">
        <w:rPr>
          <w:rFonts w:asciiTheme="minorHAnsi" w:hAnsiTheme="minorHAnsi" w:cstheme="minorHAnsi"/>
          <w:sz w:val="22"/>
          <w:szCs w:val="22"/>
        </w:rPr>
        <w:t xml:space="preserve">mit einer Reichweite von </w:t>
      </w:r>
      <w:r w:rsidR="00C0600C" w:rsidRPr="00AD0C5A">
        <w:rPr>
          <w:rFonts w:asciiTheme="minorHAnsi" w:hAnsiTheme="minorHAnsi" w:cstheme="minorHAnsi"/>
          <w:b/>
          <w:sz w:val="22"/>
          <w:szCs w:val="22"/>
        </w:rPr>
        <w:t>bis zu 1500 km</w:t>
      </w:r>
      <w:r w:rsidR="00C0600C" w:rsidRPr="00985FAF">
        <w:rPr>
          <w:rFonts w:asciiTheme="minorHAnsi" w:hAnsiTheme="minorHAnsi" w:cstheme="minorHAnsi"/>
          <w:sz w:val="22"/>
          <w:szCs w:val="22"/>
        </w:rPr>
        <w:t xml:space="preserve"> </w:t>
      </w:r>
    </w:p>
    <w:p w14:paraId="032B31BD" w14:textId="70FAC6C6" w:rsidR="00C0600C" w:rsidRDefault="009B226B" w:rsidP="006C0CAA">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Technologiehighlights o</w:t>
      </w:r>
      <w:r w:rsidR="00D14184">
        <w:rPr>
          <w:rFonts w:asciiTheme="minorHAnsi" w:hAnsiTheme="minorHAnsi" w:cstheme="minorHAnsi"/>
          <w:sz w:val="22"/>
          <w:szCs w:val="22"/>
        </w:rPr>
        <w:t>n board</w:t>
      </w:r>
      <w:r w:rsidR="00B40412">
        <w:rPr>
          <w:rFonts w:asciiTheme="minorHAnsi" w:hAnsiTheme="minorHAnsi" w:cstheme="minorHAnsi"/>
          <w:sz w:val="22"/>
          <w:szCs w:val="22"/>
        </w:rPr>
        <w:t xml:space="preserve"> mit Plattformpartnern</w:t>
      </w:r>
      <w:r w:rsidR="00D14184">
        <w:rPr>
          <w:rFonts w:asciiTheme="minorHAnsi" w:hAnsiTheme="minorHAnsi" w:cstheme="minorHAnsi"/>
          <w:sz w:val="22"/>
          <w:szCs w:val="22"/>
        </w:rPr>
        <w:t>: N</w:t>
      </w:r>
      <w:r w:rsidR="00C0600C">
        <w:rPr>
          <w:rFonts w:asciiTheme="minorHAnsi" w:hAnsiTheme="minorHAnsi" w:cstheme="minorHAnsi"/>
          <w:sz w:val="22"/>
          <w:szCs w:val="22"/>
        </w:rPr>
        <w:t>eueste</w:t>
      </w:r>
      <w:r w:rsidR="00C0600C" w:rsidRPr="0075369D">
        <w:rPr>
          <w:rFonts w:asciiTheme="minorHAnsi" w:hAnsiTheme="minorHAnsi" w:cstheme="minorHAnsi"/>
          <w:sz w:val="22"/>
          <w:szCs w:val="22"/>
        </w:rPr>
        <w:t xml:space="preserve"> </w:t>
      </w:r>
      <w:r w:rsidR="0006258D" w:rsidRPr="0075369D">
        <w:rPr>
          <w:rFonts w:asciiTheme="minorHAnsi" w:hAnsiTheme="minorHAnsi" w:cstheme="minorHAnsi"/>
          <w:sz w:val="22"/>
          <w:szCs w:val="22"/>
        </w:rPr>
        <w:t>Brennstoffzelle</w:t>
      </w:r>
      <w:r w:rsidR="0006258D">
        <w:rPr>
          <w:rFonts w:asciiTheme="minorHAnsi" w:hAnsiTheme="minorHAnsi" w:cstheme="minorHAnsi"/>
          <w:sz w:val="22"/>
          <w:szCs w:val="22"/>
        </w:rPr>
        <w:t xml:space="preserve">ntechnologie </w:t>
      </w:r>
      <w:r w:rsidR="00D14184">
        <w:rPr>
          <w:rFonts w:asciiTheme="minorHAnsi" w:hAnsiTheme="minorHAnsi" w:cstheme="minorHAnsi"/>
          <w:sz w:val="22"/>
          <w:szCs w:val="22"/>
        </w:rPr>
        <w:t xml:space="preserve">von </w:t>
      </w:r>
      <w:r w:rsidR="00C0600C" w:rsidRPr="0075369D">
        <w:rPr>
          <w:rFonts w:asciiTheme="minorHAnsi" w:hAnsiTheme="minorHAnsi" w:cstheme="minorHAnsi"/>
          <w:sz w:val="22"/>
          <w:szCs w:val="22"/>
        </w:rPr>
        <w:t>Ballard Power</w:t>
      </w:r>
      <w:r w:rsidR="00D14184">
        <w:rPr>
          <w:rFonts w:asciiTheme="minorHAnsi" w:hAnsiTheme="minorHAnsi" w:cstheme="minorHAnsi"/>
          <w:sz w:val="22"/>
          <w:szCs w:val="22"/>
        </w:rPr>
        <w:t xml:space="preserve"> und </w:t>
      </w:r>
      <w:r w:rsidR="00001610" w:rsidRPr="0075369D">
        <w:rPr>
          <w:rFonts w:asciiTheme="minorHAnsi" w:hAnsiTheme="minorHAnsi" w:cstheme="minorHAnsi"/>
          <w:sz w:val="22"/>
          <w:szCs w:val="22"/>
        </w:rPr>
        <w:t xml:space="preserve">integrierte E-Achse </w:t>
      </w:r>
      <w:r w:rsidR="00001610">
        <w:rPr>
          <w:rFonts w:asciiTheme="minorHAnsi" w:hAnsiTheme="minorHAnsi" w:cstheme="minorHAnsi"/>
          <w:sz w:val="22"/>
          <w:szCs w:val="22"/>
        </w:rPr>
        <w:t xml:space="preserve">von </w:t>
      </w:r>
      <w:r w:rsidR="00D14184" w:rsidRPr="0075369D">
        <w:rPr>
          <w:rFonts w:asciiTheme="minorHAnsi" w:hAnsiTheme="minorHAnsi" w:cstheme="minorHAnsi"/>
          <w:sz w:val="22"/>
          <w:szCs w:val="22"/>
        </w:rPr>
        <w:t xml:space="preserve">Allison </w:t>
      </w:r>
      <w:r w:rsidR="00D14184">
        <w:rPr>
          <w:rFonts w:asciiTheme="minorHAnsi" w:hAnsiTheme="minorHAnsi" w:cstheme="minorHAnsi"/>
          <w:sz w:val="22"/>
          <w:szCs w:val="22"/>
        </w:rPr>
        <w:t xml:space="preserve">Transmission </w:t>
      </w:r>
    </w:p>
    <w:p w14:paraId="60858950" w14:textId="3978A366" w:rsidR="00D14184" w:rsidRDefault="00D14184" w:rsidP="00D14184">
      <w:pPr>
        <w:pStyle w:val="01Flietext"/>
        <w:numPr>
          <w:ilvl w:val="0"/>
          <w:numId w:val="2"/>
        </w:numPr>
        <w:contextualSpacing/>
        <w:rPr>
          <w:rFonts w:asciiTheme="minorHAnsi" w:hAnsiTheme="minorHAnsi" w:cstheme="minorHAnsi"/>
          <w:sz w:val="22"/>
          <w:szCs w:val="22"/>
        </w:rPr>
      </w:pPr>
      <w:r>
        <w:rPr>
          <w:rFonts w:asciiTheme="minorHAnsi" w:hAnsiTheme="minorHAnsi" w:cstheme="minorHAnsi"/>
          <w:sz w:val="22"/>
          <w:szCs w:val="22"/>
        </w:rPr>
        <w:t xml:space="preserve">Vorstellung des </w:t>
      </w:r>
      <w:r w:rsidRPr="00AD0C5A">
        <w:rPr>
          <w:rFonts w:asciiTheme="minorHAnsi" w:hAnsiTheme="minorHAnsi" w:cstheme="minorHAnsi"/>
          <w:b/>
          <w:sz w:val="22"/>
          <w:szCs w:val="22"/>
        </w:rPr>
        <w:t>QUANTRON QHM BEV</w:t>
      </w:r>
      <w:r>
        <w:rPr>
          <w:rFonts w:asciiTheme="minorHAnsi" w:hAnsiTheme="minorHAnsi" w:cstheme="minorHAnsi"/>
          <w:sz w:val="22"/>
          <w:szCs w:val="22"/>
        </w:rPr>
        <w:t xml:space="preserve"> </w:t>
      </w:r>
      <w:r w:rsidRPr="008E1D59">
        <w:rPr>
          <w:rFonts w:asciiTheme="minorHAnsi" w:hAnsiTheme="minorHAnsi" w:cstheme="minorHAnsi"/>
          <w:b/>
          <w:sz w:val="22"/>
          <w:szCs w:val="22"/>
        </w:rPr>
        <w:t>Truck</w:t>
      </w:r>
      <w:r>
        <w:rPr>
          <w:rFonts w:asciiTheme="minorHAnsi" w:hAnsiTheme="minorHAnsi" w:cstheme="minorHAnsi"/>
          <w:b/>
          <w:sz w:val="22"/>
          <w:szCs w:val="22"/>
        </w:rPr>
        <w:t>,</w:t>
      </w:r>
      <w:r>
        <w:rPr>
          <w:rFonts w:asciiTheme="minorHAnsi" w:hAnsiTheme="minorHAnsi" w:cstheme="minorHAnsi"/>
          <w:sz w:val="22"/>
          <w:szCs w:val="22"/>
        </w:rPr>
        <w:t xml:space="preserve"> ein </w:t>
      </w:r>
      <w:r w:rsidR="00ED7E13">
        <w:rPr>
          <w:rFonts w:asciiTheme="minorHAnsi" w:hAnsiTheme="minorHAnsi" w:cstheme="minorHAnsi"/>
          <w:sz w:val="22"/>
          <w:szCs w:val="22"/>
        </w:rPr>
        <w:t>s</w:t>
      </w:r>
      <w:r>
        <w:rPr>
          <w:rFonts w:asciiTheme="minorHAnsi" w:hAnsiTheme="minorHAnsi" w:cstheme="minorHAnsi"/>
          <w:sz w:val="22"/>
          <w:szCs w:val="22"/>
        </w:rPr>
        <w:t xml:space="preserve">eriennahes Konzeptfahrzeug auf Basis </w:t>
      </w:r>
      <w:r w:rsidR="00883E54">
        <w:rPr>
          <w:rFonts w:asciiTheme="minorHAnsi" w:hAnsiTheme="minorHAnsi" w:cstheme="minorHAnsi"/>
          <w:sz w:val="22"/>
          <w:szCs w:val="22"/>
        </w:rPr>
        <w:t xml:space="preserve">einer </w:t>
      </w:r>
      <w:r w:rsidR="00A31A79" w:rsidRPr="00AD0C5A">
        <w:rPr>
          <w:rFonts w:asciiTheme="minorHAnsi" w:hAnsiTheme="minorHAnsi" w:cstheme="minorHAnsi"/>
          <w:b/>
          <w:sz w:val="22"/>
          <w:szCs w:val="22"/>
        </w:rPr>
        <w:t>vollelektrische</w:t>
      </w:r>
      <w:r w:rsidR="007D4101">
        <w:rPr>
          <w:rFonts w:asciiTheme="minorHAnsi" w:hAnsiTheme="minorHAnsi" w:cstheme="minorHAnsi"/>
          <w:b/>
          <w:sz w:val="22"/>
          <w:szCs w:val="22"/>
        </w:rPr>
        <w:t>n</w:t>
      </w:r>
      <w:r w:rsidR="008E1D59">
        <w:rPr>
          <w:rFonts w:asciiTheme="minorHAnsi" w:hAnsiTheme="minorHAnsi" w:cstheme="minorHAnsi"/>
          <w:b/>
          <w:sz w:val="22"/>
          <w:szCs w:val="22"/>
        </w:rPr>
        <w:t xml:space="preserve"> Plattform </w:t>
      </w:r>
      <w:r w:rsidR="000D7D88">
        <w:rPr>
          <w:rFonts w:asciiTheme="minorHAnsi" w:hAnsiTheme="minorHAnsi" w:cstheme="minorHAnsi"/>
          <w:sz w:val="22"/>
          <w:szCs w:val="22"/>
        </w:rPr>
        <w:t xml:space="preserve">mit </w:t>
      </w:r>
      <w:r>
        <w:rPr>
          <w:rFonts w:asciiTheme="minorHAnsi" w:hAnsiTheme="minorHAnsi" w:cstheme="minorHAnsi"/>
          <w:sz w:val="22"/>
          <w:szCs w:val="22"/>
        </w:rPr>
        <w:t xml:space="preserve">einer </w:t>
      </w:r>
      <w:r w:rsidR="000D7D88">
        <w:rPr>
          <w:rFonts w:asciiTheme="minorHAnsi" w:hAnsiTheme="minorHAnsi" w:cstheme="minorHAnsi"/>
          <w:sz w:val="22"/>
          <w:szCs w:val="22"/>
        </w:rPr>
        <w:t xml:space="preserve">Reichweite </w:t>
      </w:r>
      <w:r w:rsidR="000D7D88" w:rsidRPr="004F07B6">
        <w:rPr>
          <w:rFonts w:asciiTheme="minorHAnsi" w:hAnsiTheme="minorHAnsi" w:cstheme="minorHAnsi"/>
          <w:b/>
          <w:bCs/>
          <w:sz w:val="22"/>
          <w:szCs w:val="22"/>
        </w:rPr>
        <w:t>bis zu</w:t>
      </w:r>
      <w:r w:rsidR="000D7D88">
        <w:rPr>
          <w:rFonts w:asciiTheme="minorHAnsi" w:hAnsiTheme="minorHAnsi" w:cstheme="minorHAnsi"/>
          <w:sz w:val="22"/>
          <w:szCs w:val="22"/>
        </w:rPr>
        <w:t xml:space="preserve"> </w:t>
      </w:r>
      <w:r w:rsidR="000D7D88" w:rsidRPr="008E1D59">
        <w:rPr>
          <w:rFonts w:asciiTheme="minorHAnsi" w:hAnsiTheme="minorHAnsi" w:cstheme="minorHAnsi"/>
          <w:b/>
          <w:sz w:val="22"/>
          <w:szCs w:val="22"/>
        </w:rPr>
        <w:t>350</w:t>
      </w:r>
      <w:r w:rsidR="008E1D59" w:rsidRPr="008E1D59">
        <w:rPr>
          <w:rFonts w:asciiTheme="minorHAnsi" w:hAnsiTheme="minorHAnsi" w:cstheme="minorHAnsi"/>
          <w:b/>
          <w:sz w:val="22"/>
          <w:szCs w:val="22"/>
        </w:rPr>
        <w:t xml:space="preserve"> </w:t>
      </w:r>
      <w:r w:rsidR="000D7D88" w:rsidRPr="008E1D59">
        <w:rPr>
          <w:rFonts w:asciiTheme="minorHAnsi" w:hAnsiTheme="minorHAnsi" w:cstheme="minorHAnsi"/>
          <w:b/>
          <w:sz w:val="22"/>
          <w:szCs w:val="22"/>
        </w:rPr>
        <w:t>km</w:t>
      </w:r>
      <w:r w:rsidR="008E1D59">
        <w:rPr>
          <w:rFonts w:asciiTheme="minorHAnsi" w:hAnsiTheme="minorHAnsi" w:cstheme="minorHAnsi"/>
          <w:sz w:val="22"/>
          <w:szCs w:val="22"/>
        </w:rPr>
        <w:t xml:space="preserve"> </w:t>
      </w:r>
    </w:p>
    <w:p w14:paraId="666A8948" w14:textId="79FC1DD5" w:rsidR="00F05530" w:rsidRDefault="00C62699" w:rsidP="00A27EF4">
      <w:pPr>
        <w:pStyle w:val="01Flietext"/>
        <w:numPr>
          <w:ilvl w:val="0"/>
          <w:numId w:val="2"/>
        </w:numPr>
        <w:contextualSpacing/>
        <w:rPr>
          <w:rFonts w:asciiTheme="minorHAnsi" w:hAnsiTheme="minorHAnsi" w:cstheme="minorHAnsi"/>
          <w:sz w:val="22"/>
          <w:szCs w:val="22"/>
        </w:rPr>
      </w:pPr>
      <w:r>
        <w:rPr>
          <w:rFonts w:asciiTheme="minorHAnsi" w:hAnsiTheme="minorHAnsi" w:cstheme="minorHAnsi"/>
          <w:sz w:val="22"/>
          <w:szCs w:val="22"/>
        </w:rPr>
        <w:t>W</w:t>
      </w:r>
      <w:r w:rsidR="00A27EF4">
        <w:rPr>
          <w:rFonts w:asciiTheme="minorHAnsi" w:hAnsiTheme="minorHAnsi" w:cstheme="minorHAnsi"/>
          <w:sz w:val="22"/>
          <w:szCs w:val="22"/>
        </w:rPr>
        <w:t xml:space="preserve">eitere Highlights auf der IAA </w:t>
      </w:r>
      <w:r>
        <w:rPr>
          <w:rFonts w:asciiTheme="minorHAnsi" w:hAnsiTheme="minorHAnsi" w:cstheme="minorHAnsi"/>
          <w:sz w:val="22"/>
          <w:szCs w:val="22"/>
        </w:rPr>
        <w:t>T</w:t>
      </w:r>
      <w:r w:rsidR="00F21118">
        <w:rPr>
          <w:rFonts w:asciiTheme="minorHAnsi" w:hAnsiTheme="minorHAnsi" w:cstheme="minorHAnsi"/>
          <w:sz w:val="22"/>
          <w:szCs w:val="22"/>
        </w:rPr>
        <w:t>ransportation</w:t>
      </w:r>
    </w:p>
    <w:p w14:paraId="3401FA64" w14:textId="26320A59" w:rsidR="00883E54" w:rsidRPr="00F84118" w:rsidRDefault="00F05530" w:rsidP="00F84118">
      <w:pPr>
        <w:pStyle w:val="01Flietext"/>
        <w:numPr>
          <w:ilvl w:val="1"/>
          <w:numId w:val="2"/>
        </w:numPr>
        <w:contextualSpacing/>
        <w:rPr>
          <w:rFonts w:asciiTheme="minorHAnsi" w:hAnsiTheme="minorHAnsi" w:cstheme="minorHAnsi"/>
          <w:sz w:val="22"/>
          <w:szCs w:val="22"/>
        </w:rPr>
      </w:pPr>
      <w:r>
        <w:rPr>
          <w:rFonts w:asciiTheme="minorHAnsi" w:hAnsiTheme="minorHAnsi" w:cstheme="minorHAnsi"/>
          <w:sz w:val="22"/>
          <w:szCs w:val="22"/>
        </w:rPr>
        <w:t>de</w:t>
      </w:r>
      <w:r w:rsidR="00C62699">
        <w:rPr>
          <w:rFonts w:asciiTheme="minorHAnsi" w:hAnsiTheme="minorHAnsi" w:cstheme="minorHAnsi"/>
          <w:sz w:val="22"/>
          <w:szCs w:val="22"/>
        </w:rPr>
        <w:t>r</w:t>
      </w:r>
      <w:r w:rsidR="00A27EF4">
        <w:rPr>
          <w:rFonts w:asciiTheme="minorHAnsi" w:hAnsiTheme="minorHAnsi" w:cstheme="minorHAnsi"/>
          <w:sz w:val="22"/>
          <w:szCs w:val="22"/>
        </w:rPr>
        <w:t xml:space="preserve"> </w:t>
      </w:r>
      <w:r w:rsidR="00A27EF4" w:rsidRPr="00CA0946">
        <w:rPr>
          <w:rFonts w:asciiTheme="minorHAnsi" w:hAnsiTheme="minorHAnsi" w:cstheme="minorHAnsi"/>
          <w:b/>
          <w:sz w:val="22"/>
          <w:szCs w:val="22"/>
        </w:rPr>
        <w:t xml:space="preserve">QUANTRON QLI FCEV </w:t>
      </w:r>
      <w:r w:rsidR="00A27EF4" w:rsidRPr="008D1DF1">
        <w:rPr>
          <w:rFonts w:asciiTheme="minorHAnsi" w:hAnsiTheme="minorHAnsi" w:cstheme="minorHAnsi"/>
          <w:bCs/>
          <w:sz w:val="22"/>
          <w:szCs w:val="22"/>
        </w:rPr>
        <w:t>Wasserstoff-Transporter</w:t>
      </w:r>
      <w:r w:rsidR="00165474">
        <w:rPr>
          <w:rFonts w:asciiTheme="minorHAnsi" w:hAnsiTheme="minorHAnsi" w:cstheme="minorHAnsi"/>
          <w:bCs/>
          <w:sz w:val="22"/>
          <w:szCs w:val="22"/>
        </w:rPr>
        <w:t xml:space="preserve"> von</w:t>
      </w:r>
      <w:r w:rsidR="00FD2027">
        <w:rPr>
          <w:rFonts w:asciiTheme="minorHAnsi" w:hAnsiTheme="minorHAnsi" w:cstheme="minorHAnsi"/>
          <w:bCs/>
          <w:sz w:val="22"/>
          <w:szCs w:val="22"/>
        </w:rPr>
        <w:t xml:space="preserve"> </w:t>
      </w:r>
      <w:r w:rsidR="00746F6C">
        <w:rPr>
          <w:rFonts w:asciiTheme="minorHAnsi" w:hAnsiTheme="minorHAnsi" w:cstheme="minorHAnsi"/>
          <w:bCs/>
          <w:sz w:val="22"/>
          <w:szCs w:val="22"/>
        </w:rPr>
        <w:t>3,5</w:t>
      </w:r>
      <w:r w:rsidR="00FD2027">
        <w:rPr>
          <w:rFonts w:asciiTheme="minorHAnsi" w:hAnsiTheme="minorHAnsi" w:cstheme="minorHAnsi"/>
          <w:bCs/>
          <w:sz w:val="22"/>
          <w:szCs w:val="22"/>
        </w:rPr>
        <w:t xml:space="preserve"> bis </w:t>
      </w:r>
      <w:r w:rsidR="00746F6C">
        <w:rPr>
          <w:rFonts w:asciiTheme="minorHAnsi" w:hAnsiTheme="minorHAnsi" w:cstheme="minorHAnsi"/>
          <w:bCs/>
          <w:sz w:val="22"/>
          <w:szCs w:val="22"/>
        </w:rPr>
        <w:t>4</w:t>
      </w:r>
      <w:r w:rsidR="00FD2027">
        <w:rPr>
          <w:rFonts w:asciiTheme="minorHAnsi" w:hAnsiTheme="minorHAnsi" w:cstheme="minorHAnsi"/>
          <w:bCs/>
          <w:sz w:val="22"/>
          <w:szCs w:val="22"/>
        </w:rPr>
        <w:t>,</w:t>
      </w:r>
      <w:r w:rsidR="006828E4">
        <w:rPr>
          <w:rFonts w:asciiTheme="minorHAnsi" w:hAnsiTheme="minorHAnsi" w:cstheme="minorHAnsi"/>
          <w:bCs/>
          <w:sz w:val="22"/>
          <w:szCs w:val="22"/>
        </w:rPr>
        <w:t>2 Tonnen</w:t>
      </w:r>
      <w:r w:rsidR="00A27EF4">
        <w:rPr>
          <w:rFonts w:asciiTheme="minorHAnsi" w:hAnsiTheme="minorHAnsi" w:cstheme="minorHAnsi"/>
          <w:sz w:val="22"/>
          <w:szCs w:val="22"/>
        </w:rPr>
        <w:t xml:space="preserve">, der für Anwendungsfälle </w:t>
      </w:r>
      <w:r w:rsidR="005F5B68">
        <w:rPr>
          <w:rFonts w:asciiTheme="minorHAnsi" w:hAnsiTheme="minorHAnsi" w:cstheme="minorHAnsi"/>
          <w:sz w:val="22"/>
          <w:szCs w:val="22"/>
        </w:rPr>
        <w:t>mit bis zu</w:t>
      </w:r>
      <w:r w:rsidR="00665EE4">
        <w:rPr>
          <w:rFonts w:asciiTheme="minorHAnsi" w:hAnsiTheme="minorHAnsi" w:cstheme="minorHAnsi"/>
          <w:sz w:val="22"/>
          <w:szCs w:val="22"/>
        </w:rPr>
        <w:t xml:space="preserve"> </w:t>
      </w:r>
      <w:r w:rsidR="00066CE7" w:rsidRPr="00066CE7">
        <w:rPr>
          <w:rFonts w:asciiTheme="minorHAnsi" w:hAnsiTheme="minorHAnsi" w:cstheme="minorHAnsi"/>
          <w:sz w:val="22"/>
          <w:szCs w:val="22"/>
        </w:rPr>
        <w:t>500</w:t>
      </w:r>
      <w:r w:rsidR="005F5B68" w:rsidRPr="00066CE7">
        <w:rPr>
          <w:rFonts w:asciiTheme="minorHAnsi" w:hAnsiTheme="minorHAnsi" w:cstheme="minorHAnsi"/>
          <w:sz w:val="22"/>
          <w:szCs w:val="22"/>
        </w:rPr>
        <w:t xml:space="preserve"> km Rei</w:t>
      </w:r>
      <w:r w:rsidR="00C02170" w:rsidRPr="00066CE7">
        <w:rPr>
          <w:rFonts w:asciiTheme="minorHAnsi" w:hAnsiTheme="minorHAnsi" w:cstheme="minorHAnsi"/>
          <w:sz w:val="22"/>
          <w:szCs w:val="22"/>
        </w:rPr>
        <w:t>c</w:t>
      </w:r>
      <w:r w:rsidR="005F5B68" w:rsidRPr="00066CE7">
        <w:rPr>
          <w:rFonts w:asciiTheme="minorHAnsi" w:hAnsiTheme="minorHAnsi" w:cstheme="minorHAnsi"/>
          <w:sz w:val="22"/>
          <w:szCs w:val="22"/>
        </w:rPr>
        <w:t>hweite</w:t>
      </w:r>
      <w:r w:rsidR="005F5B68">
        <w:rPr>
          <w:rFonts w:asciiTheme="minorHAnsi" w:hAnsiTheme="minorHAnsi" w:cstheme="minorHAnsi"/>
          <w:sz w:val="22"/>
          <w:szCs w:val="22"/>
        </w:rPr>
        <w:t xml:space="preserve"> </w:t>
      </w:r>
      <w:r w:rsidR="00FA1FEF">
        <w:rPr>
          <w:rFonts w:asciiTheme="minorHAnsi" w:hAnsiTheme="minorHAnsi" w:cstheme="minorHAnsi"/>
          <w:sz w:val="22"/>
          <w:szCs w:val="22"/>
        </w:rPr>
        <w:t>sowie</w:t>
      </w:r>
      <w:r w:rsidR="005F5B68">
        <w:rPr>
          <w:rFonts w:asciiTheme="minorHAnsi" w:hAnsiTheme="minorHAnsi" w:cstheme="minorHAnsi"/>
          <w:sz w:val="22"/>
          <w:szCs w:val="22"/>
        </w:rPr>
        <w:t xml:space="preserve"> </w:t>
      </w:r>
      <w:r w:rsidR="00A27EF4">
        <w:rPr>
          <w:rFonts w:asciiTheme="minorHAnsi" w:hAnsiTheme="minorHAnsi" w:cstheme="minorHAnsi"/>
          <w:sz w:val="22"/>
          <w:szCs w:val="22"/>
        </w:rPr>
        <w:t>auf der letzten Meile genutzt werden kann</w:t>
      </w:r>
      <w:r w:rsidR="00FA1FEF">
        <w:rPr>
          <w:rFonts w:asciiTheme="minorHAnsi" w:hAnsiTheme="minorHAnsi" w:cstheme="minorHAnsi"/>
          <w:sz w:val="22"/>
          <w:szCs w:val="22"/>
        </w:rPr>
        <w:t>,</w:t>
      </w:r>
      <w:r w:rsidR="00883E54" w:rsidRPr="00883E54">
        <w:rPr>
          <w:rFonts w:asciiTheme="minorHAnsi" w:hAnsiTheme="minorHAnsi" w:cstheme="minorHAnsi"/>
          <w:sz w:val="22"/>
          <w:szCs w:val="22"/>
        </w:rPr>
        <w:t xml:space="preserve"> </w:t>
      </w:r>
      <w:r w:rsidR="00F84118">
        <w:rPr>
          <w:rFonts w:asciiTheme="minorHAnsi" w:hAnsiTheme="minorHAnsi" w:cstheme="minorHAnsi"/>
          <w:sz w:val="22"/>
          <w:szCs w:val="22"/>
        </w:rPr>
        <w:t xml:space="preserve">und </w:t>
      </w:r>
      <w:r w:rsidR="005A56D7" w:rsidRPr="00F84118">
        <w:rPr>
          <w:rFonts w:asciiTheme="minorHAnsi" w:hAnsiTheme="minorHAnsi" w:cstheme="minorHAnsi"/>
          <w:sz w:val="22"/>
          <w:szCs w:val="22"/>
        </w:rPr>
        <w:t>der</w:t>
      </w:r>
      <w:r w:rsidR="00F84118">
        <w:rPr>
          <w:rFonts w:asciiTheme="minorHAnsi" w:hAnsiTheme="minorHAnsi" w:cstheme="minorHAnsi"/>
          <w:sz w:val="22"/>
          <w:szCs w:val="22"/>
        </w:rPr>
        <w:t xml:space="preserve"> vollelektrische</w:t>
      </w:r>
      <w:r w:rsidR="005A56D7" w:rsidRPr="00F84118">
        <w:rPr>
          <w:rFonts w:asciiTheme="minorHAnsi" w:hAnsiTheme="minorHAnsi" w:cstheme="minorHAnsi"/>
          <w:b/>
          <w:sz w:val="22"/>
          <w:szCs w:val="22"/>
        </w:rPr>
        <w:t xml:space="preserve"> </w:t>
      </w:r>
      <w:r w:rsidR="00883E54" w:rsidRPr="00F84118">
        <w:rPr>
          <w:rFonts w:asciiTheme="minorHAnsi" w:hAnsiTheme="minorHAnsi" w:cstheme="minorHAnsi"/>
          <w:b/>
          <w:sz w:val="22"/>
          <w:szCs w:val="22"/>
        </w:rPr>
        <w:t xml:space="preserve">QUANTRON QLI </w:t>
      </w:r>
      <w:r w:rsidR="00A23996" w:rsidRPr="00F84118">
        <w:rPr>
          <w:rFonts w:asciiTheme="minorHAnsi" w:hAnsiTheme="minorHAnsi" w:cstheme="minorHAnsi"/>
          <w:b/>
          <w:sz w:val="22"/>
          <w:szCs w:val="22"/>
        </w:rPr>
        <w:t xml:space="preserve">BEV </w:t>
      </w:r>
      <w:r w:rsidR="00A23996" w:rsidRPr="00F84118">
        <w:rPr>
          <w:rFonts w:asciiTheme="minorHAnsi" w:hAnsiTheme="minorHAnsi" w:cstheme="minorHAnsi"/>
          <w:sz w:val="22"/>
          <w:szCs w:val="22"/>
        </w:rPr>
        <w:t>als</w:t>
      </w:r>
      <w:r w:rsidR="00A23996" w:rsidRPr="00F84118">
        <w:rPr>
          <w:rFonts w:asciiTheme="minorHAnsi" w:hAnsiTheme="minorHAnsi" w:cstheme="minorHAnsi"/>
          <w:b/>
          <w:sz w:val="22"/>
          <w:szCs w:val="22"/>
        </w:rPr>
        <w:t xml:space="preserve"> </w:t>
      </w:r>
      <w:r w:rsidR="00883E54" w:rsidRPr="00F84118">
        <w:rPr>
          <w:rFonts w:asciiTheme="minorHAnsi" w:hAnsiTheme="minorHAnsi" w:cstheme="minorHAnsi"/>
          <w:bCs/>
          <w:sz w:val="22"/>
          <w:szCs w:val="22"/>
        </w:rPr>
        <w:t>Transporter</w:t>
      </w:r>
      <w:r w:rsidR="005A56D7" w:rsidRPr="00F84118">
        <w:rPr>
          <w:rFonts w:asciiTheme="minorHAnsi" w:hAnsiTheme="minorHAnsi" w:cstheme="minorHAnsi"/>
          <w:bCs/>
          <w:sz w:val="22"/>
          <w:szCs w:val="22"/>
        </w:rPr>
        <w:t xml:space="preserve"> von 3,5 bis 7,2 Tonnen</w:t>
      </w:r>
      <w:r w:rsidR="00883E54" w:rsidRPr="00F84118">
        <w:rPr>
          <w:rFonts w:asciiTheme="minorHAnsi" w:hAnsiTheme="minorHAnsi" w:cstheme="minorHAnsi"/>
          <w:bCs/>
          <w:sz w:val="22"/>
          <w:szCs w:val="22"/>
        </w:rPr>
        <w:t xml:space="preserve"> </w:t>
      </w:r>
      <w:r w:rsidR="00A23996" w:rsidRPr="00F84118">
        <w:rPr>
          <w:rFonts w:asciiTheme="minorHAnsi" w:hAnsiTheme="minorHAnsi" w:cstheme="minorHAnsi"/>
          <w:sz w:val="22"/>
          <w:szCs w:val="22"/>
        </w:rPr>
        <w:t xml:space="preserve">für die letzte Meile </w:t>
      </w:r>
    </w:p>
    <w:p w14:paraId="0659967F" w14:textId="222EA0B8" w:rsidR="00A27EF4" w:rsidRDefault="00A27EF4" w:rsidP="00F05530">
      <w:pPr>
        <w:pStyle w:val="01Flietext"/>
        <w:numPr>
          <w:ilvl w:val="1"/>
          <w:numId w:val="2"/>
        </w:numPr>
        <w:contextualSpacing/>
        <w:rPr>
          <w:rFonts w:asciiTheme="minorHAnsi" w:hAnsiTheme="minorHAnsi" w:cstheme="minorHAnsi"/>
          <w:sz w:val="22"/>
          <w:szCs w:val="22"/>
        </w:rPr>
      </w:pPr>
      <w:r>
        <w:rPr>
          <w:rFonts w:asciiTheme="minorHAnsi" w:hAnsiTheme="minorHAnsi" w:cstheme="minorHAnsi"/>
          <w:sz w:val="22"/>
          <w:szCs w:val="22"/>
        </w:rPr>
        <w:t>de</w:t>
      </w:r>
      <w:r w:rsidR="00C62699">
        <w:rPr>
          <w:rFonts w:asciiTheme="minorHAnsi" w:hAnsiTheme="minorHAnsi" w:cstheme="minorHAnsi"/>
          <w:sz w:val="22"/>
          <w:szCs w:val="22"/>
        </w:rPr>
        <w:t>r</w:t>
      </w:r>
      <w:r>
        <w:rPr>
          <w:rFonts w:asciiTheme="minorHAnsi" w:hAnsiTheme="minorHAnsi" w:cstheme="minorHAnsi"/>
          <w:sz w:val="22"/>
          <w:szCs w:val="22"/>
        </w:rPr>
        <w:t xml:space="preserve"> vollelektrische </w:t>
      </w:r>
      <w:r w:rsidRPr="00CA0946">
        <w:rPr>
          <w:rFonts w:asciiTheme="minorHAnsi" w:hAnsiTheme="minorHAnsi" w:cstheme="minorHAnsi"/>
          <w:b/>
          <w:sz w:val="22"/>
          <w:szCs w:val="22"/>
        </w:rPr>
        <w:t>QUANTRON CIZARIS 12 EV</w:t>
      </w:r>
      <w:r>
        <w:rPr>
          <w:rFonts w:asciiTheme="minorHAnsi" w:hAnsiTheme="minorHAnsi" w:cstheme="minorHAnsi"/>
          <w:sz w:val="22"/>
          <w:szCs w:val="22"/>
        </w:rPr>
        <w:t xml:space="preserve"> Niederflurbus</w:t>
      </w:r>
      <w:r w:rsidR="00832EC8">
        <w:rPr>
          <w:rFonts w:asciiTheme="minorHAnsi" w:hAnsiTheme="minorHAnsi" w:cstheme="minorHAnsi"/>
          <w:sz w:val="22"/>
          <w:szCs w:val="22"/>
        </w:rPr>
        <w:t xml:space="preserve"> </w:t>
      </w:r>
      <w:r w:rsidR="00832EC8" w:rsidRPr="008230B9">
        <w:rPr>
          <w:rFonts w:asciiTheme="minorHAnsi" w:hAnsiTheme="minorHAnsi" w:cstheme="minorHAnsi"/>
          <w:sz w:val="22"/>
          <w:szCs w:val="22"/>
        </w:rPr>
        <w:t>mit einer Reichweite von bis zu 370 km (nach SORT 2)</w:t>
      </w:r>
    </w:p>
    <w:p w14:paraId="4D0AE4E9" w14:textId="35FC9AE2" w:rsidR="00E83F72" w:rsidRDefault="00E83F72" w:rsidP="00E83F72">
      <w:pPr>
        <w:pStyle w:val="01Flietext"/>
        <w:contextualSpacing/>
        <w:rPr>
          <w:rFonts w:asciiTheme="minorHAnsi" w:hAnsiTheme="minorHAnsi" w:cstheme="minorHAnsi"/>
          <w:sz w:val="22"/>
          <w:szCs w:val="22"/>
        </w:rPr>
      </w:pPr>
    </w:p>
    <w:p w14:paraId="475EE0E2" w14:textId="43CEA215" w:rsidR="005D413D" w:rsidRPr="00D16CFA" w:rsidRDefault="00E83F72" w:rsidP="00D16CFA">
      <w:pPr>
        <w:pStyle w:val="01Flietext"/>
        <w:contextualSpacing/>
        <w:rPr>
          <w:rFonts w:asciiTheme="minorHAnsi" w:hAnsiTheme="minorHAnsi" w:cstheme="minorHAnsi"/>
          <w:sz w:val="22"/>
          <w:szCs w:val="22"/>
        </w:rPr>
      </w:pPr>
      <w:r>
        <w:rPr>
          <w:rFonts w:asciiTheme="minorHAnsi" w:hAnsiTheme="minorHAnsi" w:cstheme="minorHAnsi"/>
          <w:sz w:val="22"/>
          <w:szCs w:val="22"/>
        </w:rPr>
        <w:t>Unter dem Motto „</w:t>
      </w:r>
      <w:r w:rsidRPr="00937716">
        <w:rPr>
          <w:rFonts w:asciiTheme="minorHAnsi" w:hAnsiTheme="minorHAnsi" w:cstheme="minorHAnsi"/>
          <w:sz w:val="22"/>
          <w:szCs w:val="22"/>
        </w:rPr>
        <w:t>People and Goods on the move“</w:t>
      </w:r>
      <w:r>
        <w:rPr>
          <w:rFonts w:asciiTheme="minorHAnsi" w:hAnsiTheme="minorHAnsi" w:cstheme="minorHAnsi"/>
          <w:sz w:val="22"/>
          <w:szCs w:val="22"/>
        </w:rPr>
        <w:t xml:space="preserve"> steht auf der diesjährigen IAA Transportation vom 20. bis 25. September </w:t>
      </w:r>
      <w:r w:rsidR="00F84118">
        <w:rPr>
          <w:rFonts w:asciiTheme="minorHAnsi" w:hAnsiTheme="minorHAnsi" w:cstheme="minorHAnsi"/>
          <w:sz w:val="22"/>
          <w:szCs w:val="22"/>
        </w:rPr>
        <w:t xml:space="preserve">2022 </w:t>
      </w:r>
      <w:r w:rsidR="00D54EAB">
        <w:rPr>
          <w:rFonts w:asciiTheme="minorHAnsi" w:hAnsiTheme="minorHAnsi" w:cstheme="minorHAnsi"/>
          <w:sz w:val="22"/>
          <w:szCs w:val="22"/>
        </w:rPr>
        <w:t xml:space="preserve">in Hannover </w:t>
      </w:r>
      <w:r>
        <w:rPr>
          <w:rFonts w:asciiTheme="minorHAnsi" w:hAnsiTheme="minorHAnsi" w:cstheme="minorHAnsi"/>
          <w:sz w:val="22"/>
          <w:szCs w:val="22"/>
        </w:rPr>
        <w:t xml:space="preserve">der nachhaltige Umstieg auf alternative Antriebe für Logistik und Transport im Mittelpunkt. </w:t>
      </w:r>
      <w:r w:rsidRPr="00B40412">
        <w:rPr>
          <w:rFonts w:asciiTheme="minorHAnsi" w:hAnsiTheme="minorHAnsi" w:cstheme="minorHAnsi"/>
          <w:b/>
          <w:sz w:val="22"/>
          <w:szCs w:val="22"/>
        </w:rPr>
        <w:t xml:space="preserve">Die Quantron AG zählt </w:t>
      </w:r>
      <w:r w:rsidR="00D16CFA" w:rsidRPr="00B40412">
        <w:rPr>
          <w:rFonts w:asciiTheme="minorHAnsi" w:hAnsiTheme="minorHAnsi" w:cstheme="minorHAnsi"/>
          <w:b/>
          <w:bCs/>
          <w:sz w:val="22"/>
          <w:szCs w:val="22"/>
        </w:rPr>
        <w:t>als Technologie- und Plattformpartner für OEMs</w:t>
      </w:r>
      <w:r w:rsidR="00D16CFA">
        <w:rPr>
          <w:rFonts w:asciiTheme="minorHAnsi" w:hAnsiTheme="minorHAnsi" w:cstheme="minorHAnsi"/>
          <w:sz w:val="22"/>
          <w:szCs w:val="22"/>
        </w:rPr>
        <w:t xml:space="preserve"> </w:t>
      </w:r>
      <w:r>
        <w:rPr>
          <w:rFonts w:asciiTheme="minorHAnsi" w:hAnsiTheme="minorHAnsi" w:cstheme="minorHAnsi"/>
          <w:sz w:val="22"/>
          <w:szCs w:val="22"/>
        </w:rPr>
        <w:t xml:space="preserve">zu den Vorreitern der Branche und bietet sowohl Umrüstungen von Dieselfahrzeugen auf batterie- und wasserstoffelektrische Antriebe als auch eigene zero-emission Fahrzeuge an. Auf der </w:t>
      </w:r>
      <w:r w:rsidR="00D54EAB">
        <w:rPr>
          <w:rFonts w:asciiTheme="minorHAnsi" w:hAnsiTheme="minorHAnsi" w:cstheme="minorHAnsi"/>
          <w:sz w:val="22"/>
          <w:szCs w:val="22"/>
        </w:rPr>
        <w:t xml:space="preserve">der diesjährigen Transport- und Nutzfahrzeug-Show </w:t>
      </w:r>
      <w:r>
        <w:rPr>
          <w:rFonts w:asciiTheme="minorHAnsi" w:hAnsiTheme="minorHAnsi" w:cstheme="minorHAnsi"/>
          <w:sz w:val="22"/>
          <w:szCs w:val="22"/>
        </w:rPr>
        <w:t xml:space="preserve">präsentiert QUANTRON </w:t>
      </w:r>
      <w:r w:rsidR="008F3134">
        <w:rPr>
          <w:rFonts w:asciiTheme="minorHAnsi" w:hAnsiTheme="minorHAnsi" w:cstheme="minorHAnsi"/>
          <w:sz w:val="22"/>
          <w:szCs w:val="22"/>
        </w:rPr>
        <w:t>mehrere emissionsfreie Nutzf</w:t>
      </w:r>
      <w:r w:rsidR="004C5DE3">
        <w:rPr>
          <w:rFonts w:asciiTheme="minorHAnsi" w:hAnsiTheme="minorHAnsi" w:cstheme="minorHAnsi"/>
          <w:sz w:val="22"/>
          <w:szCs w:val="22"/>
        </w:rPr>
        <w:t>ahrzeuge</w:t>
      </w:r>
      <w:r w:rsidR="00426B96">
        <w:rPr>
          <w:rFonts w:asciiTheme="minorHAnsi" w:hAnsiTheme="minorHAnsi" w:cstheme="minorHAnsi"/>
          <w:sz w:val="22"/>
          <w:szCs w:val="22"/>
        </w:rPr>
        <w:t xml:space="preserve">, welche </w:t>
      </w:r>
      <w:r w:rsidR="008F3134">
        <w:rPr>
          <w:rFonts w:asciiTheme="minorHAnsi" w:hAnsiTheme="minorHAnsi" w:cstheme="minorHAnsi"/>
          <w:sz w:val="22"/>
          <w:szCs w:val="22"/>
        </w:rPr>
        <w:t xml:space="preserve">auf </w:t>
      </w:r>
      <w:r w:rsidR="00426B96">
        <w:rPr>
          <w:rFonts w:asciiTheme="minorHAnsi" w:hAnsiTheme="minorHAnsi" w:cstheme="minorHAnsi"/>
          <w:sz w:val="22"/>
          <w:szCs w:val="22"/>
        </w:rPr>
        <w:t xml:space="preserve">den </w:t>
      </w:r>
      <w:r w:rsidR="008F3134">
        <w:rPr>
          <w:rFonts w:asciiTheme="minorHAnsi" w:hAnsiTheme="minorHAnsi" w:cstheme="minorHAnsi"/>
          <w:sz w:val="22"/>
          <w:szCs w:val="22"/>
        </w:rPr>
        <w:t xml:space="preserve">zwei selbstentwickelten </w:t>
      </w:r>
      <w:r w:rsidR="008F3134" w:rsidRPr="008F3134">
        <w:rPr>
          <w:rFonts w:asciiTheme="minorHAnsi" w:hAnsiTheme="minorHAnsi" w:cstheme="minorHAnsi"/>
          <w:sz w:val="22"/>
          <w:szCs w:val="22"/>
        </w:rPr>
        <w:t xml:space="preserve">wasserstoff- </w:t>
      </w:r>
      <w:r w:rsidR="008F3134">
        <w:rPr>
          <w:rFonts w:asciiTheme="minorHAnsi" w:hAnsiTheme="minorHAnsi" w:cstheme="minorHAnsi"/>
          <w:sz w:val="22"/>
          <w:szCs w:val="22"/>
        </w:rPr>
        <w:t>bzw.</w:t>
      </w:r>
      <w:r w:rsidR="008F3134" w:rsidRPr="008F3134">
        <w:rPr>
          <w:rFonts w:asciiTheme="minorHAnsi" w:hAnsiTheme="minorHAnsi" w:cstheme="minorHAnsi"/>
          <w:sz w:val="22"/>
          <w:szCs w:val="22"/>
        </w:rPr>
        <w:t xml:space="preserve"> batterieelektrischen </w:t>
      </w:r>
      <w:r w:rsidR="008F3134">
        <w:rPr>
          <w:rFonts w:asciiTheme="minorHAnsi" w:hAnsiTheme="minorHAnsi" w:cstheme="minorHAnsi"/>
          <w:sz w:val="22"/>
          <w:szCs w:val="22"/>
        </w:rPr>
        <w:t>Plattformen</w:t>
      </w:r>
      <w:r w:rsidR="00426B96">
        <w:rPr>
          <w:rFonts w:asciiTheme="minorHAnsi" w:hAnsiTheme="minorHAnsi" w:cstheme="minorHAnsi"/>
          <w:sz w:val="22"/>
          <w:szCs w:val="22"/>
        </w:rPr>
        <w:t xml:space="preserve"> basieren und</w:t>
      </w:r>
      <w:r w:rsidR="008F3134">
        <w:rPr>
          <w:rFonts w:asciiTheme="minorHAnsi" w:hAnsiTheme="minorHAnsi" w:cstheme="minorHAnsi"/>
          <w:sz w:val="22"/>
          <w:szCs w:val="22"/>
        </w:rPr>
        <w:t xml:space="preserve"> zu </w:t>
      </w:r>
      <w:r w:rsidR="00665F60">
        <w:rPr>
          <w:rFonts w:asciiTheme="minorHAnsi" w:hAnsiTheme="minorHAnsi" w:cstheme="minorHAnsi"/>
          <w:sz w:val="22"/>
          <w:szCs w:val="22"/>
        </w:rPr>
        <w:t xml:space="preserve">den </w:t>
      </w:r>
      <w:r w:rsidR="008F3134">
        <w:rPr>
          <w:rFonts w:asciiTheme="minorHAnsi" w:hAnsiTheme="minorHAnsi" w:cstheme="minorHAnsi"/>
          <w:sz w:val="22"/>
          <w:szCs w:val="22"/>
        </w:rPr>
        <w:t>aktuell reichweitenstärksten Fahrzeugen zählen</w:t>
      </w:r>
      <w:r w:rsidR="00D16CFA">
        <w:rPr>
          <w:rFonts w:asciiTheme="minorHAnsi" w:hAnsiTheme="minorHAnsi" w:cstheme="minorHAnsi"/>
          <w:sz w:val="22"/>
          <w:szCs w:val="22"/>
        </w:rPr>
        <w:t>.</w:t>
      </w:r>
    </w:p>
    <w:p w14:paraId="2DAAFDCC" w14:textId="77777777" w:rsidR="008F3134" w:rsidRDefault="008F3134">
      <w:pPr>
        <w:rPr>
          <w:rFonts w:cstheme="minorHAnsi"/>
          <w:b/>
          <w:bCs/>
        </w:rPr>
      </w:pPr>
      <w:r>
        <w:rPr>
          <w:rFonts w:cstheme="minorHAnsi"/>
          <w:b/>
          <w:bCs/>
        </w:rPr>
        <w:br w:type="page"/>
      </w:r>
    </w:p>
    <w:p w14:paraId="4F6A93FD" w14:textId="74C7BD02" w:rsidR="00D414C4" w:rsidRPr="001E2FF3" w:rsidRDefault="00B05335" w:rsidP="00D414C4">
      <w:pPr>
        <w:spacing w:after="0" w:line="324" w:lineRule="auto"/>
        <w:rPr>
          <w:rFonts w:cstheme="minorHAnsi"/>
          <w:b/>
          <w:bCs/>
        </w:rPr>
      </w:pPr>
      <w:r w:rsidRPr="00B05335">
        <w:rPr>
          <w:rFonts w:cstheme="minorHAnsi"/>
          <w:b/>
          <w:bCs/>
        </w:rPr>
        <w:lastRenderedPageBreak/>
        <w:t>Wasserstoff-Truck Weltpremiere</w:t>
      </w:r>
      <w:r w:rsidR="007C1054">
        <w:rPr>
          <w:rFonts w:cstheme="minorHAnsi"/>
          <w:b/>
          <w:bCs/>
        </w:rPr>
        <w:t xml:space="preserve"> auf der IAA</w:t>
      </w:r>
      <w:r w:rsidRPr="00B05335">
        <w:rPr>
          <w:rFonts w:cstheme="minorHAnsi"/>
          <w:b/>
          <w:bCs/>
        </w:rPr>
        <w:t xml:space="preserve">: </w:t>
      </w:r>
      <w:r w:rsidR="001E2FF3" w:rsidRPr="001E2FF3">
        <w:rPr>
          <w:b/>
          <w:bCs/>
        </w:rPr>
        <w:t xml:space="preserve">QUANTRON </w:t>
      </w:r>
      <w:r w:rsidR="001E2FF3" w:rsidRPr="00F029A8">
        <w:rPr>
          <w:b/>
          <w:bCs/>
        </w:rPr>
        <w:t>QHM FCEV</w:t>
      </w:r>
      <w:r w:rsidR="00A11127">
        <w:rPr>
          <w:b/>
          <w:bCs/>
        </w:rPr>
        <w:t xml:space="preserve"> Plattform</w:t>
      </w:r>
    </w:p>
    <w:p w14:paraId="46BC4007" w14:textId="77777777" w:rsidR="00D414C4" w:rsidRPr="00B05335" w:rsidRDefault="00D414C4" w:rsidP="00D414C4">
      <w:pPr>
        <w:spacing w:after="0" w:line="324" w:lineRule="auto"/>
        <w:rPr>
          <w:rFonts w:cstheme="minorHAnsi"/>
        </w:rPr>
      </w:pPr>
      <w:r w:rsidRPr="00B05335">
        <w:rPr>
          <w:rFonts w:cstheme="minorHAnsi"/>
        </w:rPr>
        <w:t xml:space="preserve"> </w:t>
      </w:r>
    </w:p>
    <w:p w14:paraId="6C4C08D0" w14:textId="6737F493" w:rsidR="003839E4" w:rsidRPr="000F6F08" w:rsidRDefault="00771FF7" w:rsidP="00D414C4">
      <w:pPr>
        <w:spacing w:after="0" w:line="324" w:lineRule="auto"/>
        <w:rPr>
          <w:rFonts w:cstheme="minorHAnsi"/>
        </w:rPr>
      </w:pPr>
      <w:r w:rsidRPr="00B05335">
        <w:rPr>
          <w:rFonts w:cstheme="minorHAnsi"/>
        </w:rPr>
        <w:t xml:space="preserve">Im Rahmen einer strategischen Partnerschaft hat QUANTRON </w:t>
      </w:r>
      <w:r w:rsidRPr="00985FAF">
        <w:rPr>
          <w:rFonts w:cstheme="minorHAnsi"/>
        </w:rPr>
        <w:t xml:space="preserve">gemeinsam mit </w:t>
      </w:r>
      <w:r w:rsidR="00B501D6" w:rsidRPr="00985FAF">
        <w:rPr>
          <w:rFonts w:cstheme="minorHAnsi"/>
        </w:rPr>
        <w:t xml:space="preserve">einem der </w:t>
      </w:r>
      <w:r w:rsidRPr="00985FAF">
        <w:rPr>
          <w:rFonts w:cstheme="minorHAnsi"/>
        </w:rPr>
        <w:t xml:space="preserve">weltweit </w:t>
      </w:r>
      <w:r w:rsidRPr="00B05335">
        <w:rPr>
          <w:rFonts w:cstheme="minorHAnsi"/>
        </w:rPr>
        <w:t>führenden Wasserstoff-Experten Ballard Power Systems einen FCEV Heavy Duty Truck entwickelt.</w:t>
      </w:r>
      <w:r w:rsidR="00D37E9D">
        <w:rPr>
          <w:rFonts w:cstheme="minorHAnsi"/>
        </w:rPr>
        <w:t xml:space="preserve"> </w:t>
      </w:r>
      <w:r w:rsidR="001E2FF3">
        <w:rPr>
          <w:rFonts w:cstheme="minorHAnsi"/>
        </w:rPr>
        <w:t xml:space="preserve">Der </w:t>
      </w:r>
      <w:r w:rsidR="001E2FF3" w:rsidRPr="0010505E">
        <w:rPr>
          <w:rFonts w:cstheme="minorHAnsi"/>
          <w:b/>
          <w:bCs/>
        </w:rPr>
        <w:t>QUANTRON QHM FCEV</w:t>
      </w:r>
      <w:r w:rsidR="001E2FF3" w:rsidRPr="00F029A8">
        <w:rPr>
          <w:rFonts w:cstheme="minorHAnsi"/>
        </w:rPr>
        <w:t xml:space="preserve"> </w:t>
      </w:r>
      <w:r w:rsidRPr="00F029A8">
        <w:rPr>
          <w:rFonts w:cstheme="minorHAnsi"/>
        </w:rPr>
        <w:t>besticht</w:t>
      </w:r>
      <w:r w:rsidRPr="00B05335">
        <w:rPr>
          <w:rFonts w:cstheme="minorHAnsi"/>
        </w:rPr>
        <w:t xml:space="preserve"> durch hochmoderne Komponenten, darunter </w:t>
      </w:r>
      <w:r w:rsidR="005E32BE">
        <w:t xml:space="preserve">die von </w:t>
      </w:r>
      <w:r w:rsidR="005E32BE" w:rsidRPr="0010505E">
        <w:rPr>
          <w:b/>
          <w:bCs/>
        </w:rPr>
        <w:t>Ballard neuentwickelte FCmove™-XD 120 kW Brennstoffzelle</w:t>
      </w:r>
      <w:r w:rsidR="00962345" w:rsidRPr="0010505E">
        <w:rPr>
          <w:rFonts w:cstheme="minorHAnsi"/>
          <w:b/>
          <w:bCs/>
        </w:rPr>
        <w:t xml:space="preserve"> </w:t>
      </w:r>
      <w:r w:rsidR="00962345" w:rsidRPr="000F6F08">
        <w:rPr>
          <w:rFonts w:cstheme="minorHAnsi"/>
        </w:rPr>
        <w:t xml:space="preserve">sowie </w:t>
      </w:r>
      <w:r w:rsidR="00BE37F5">
        <w:rPr>
          <w:rFonts w:cstheme="minorHAnsi"/>
        </w:rPr>
        <w:t xml:space="preserve">die </w:t>
      </w:r>
      <w:r w:rsidRPr="00856139">
        <w:rPr>
          <w:b/>
          <w:bCs/>
        </w:rPr>
        <w:t xml:space="preserve">integrierte </w:t>
      </w:r>
      <w:r w:rsidR="00856139" w:rsidRPr="00856139">
        <w:rPr>
          <w:b/>
          <w:bCs/>
        </w:rPr>
        <w:t xml:space="preserve">eGen Power® 130D </w:t>
      </w:r>
      <w:r w:rsidR="00D414C4" w:rsidRPr="00856139">
        <w:rPr>
          <w:b/>
          <w:bCs/>
        </w:rPr>
        <w:t>E</w:t>
      </w:r>
      <w:r w:rsidR="00D414C4" w:rsidRPr="000F6F08">
        <w:rPr>
          <w:rFonts w:cstheme="minorHAnsi"/>
          <w:b/>
          <w:bCs/>
        </w:rPr>
        <w:t xml:space="preserve">-Achse </w:t>
      </w:r>
      <w:r w:rsidR="001D71F9" w:rsidRPr="000F6F08">
        <w:rPr>
          <w:rFonts w:cstheme="minorHAnsi"/>
          <w:b/>
          <w:bCs/>
        </w:rPr>
        <w:t>von Allison</w:t>
      </w:r>
      <w:r w:rsidR="005B1A92">
        <w:rPr>
          <w:rFonts w:cstheme="minorHAnsi"/>
          <w:b/>
          <w:bCs/>
        </w:rPr>
        <w:t xml:space="preserve"> </w:t>
      </w:r>
      <w:r w:rsidR="005B1A92" w:rsidRPr="005B1A92">
        <w:rPr>
          <w:rFonts w:cstheme="minorHAnsi"/>
          <w:b/>
          <w:bCs/>
        </w:rPr>
        <w:t>Transmission</w:t>
      </w:r>
      <w:r w:rsidR="001D71F9" w:rsidRPr="000F6F08">
        <w:rPr>
          <w:rFonts w:cstheme="minorHAnsi"/>
        </w:rPr>
        <w:t xml:space="preserve">, einem </w:t>
      </w:r>
      <w:r w:rsidR="00D414C4" w:rsidRPr="000F6F08">
        <w:rPr>
          <w:rFonts w:cstheme="minorHAnsi"/>
        </w:rPr>
        <w:t>weltweit führenden Hersteller für Antriebssysteme.</w:t>
      </w:r>
      <w:r w:rsidR="00365D4A" w:rsidRPr="000F6F08">
        <w:rPr>
          <w:rFonts w:cstheme="minorHAnsi"/>
        </w:rPr>
        <w:t xml:space="preserve"> QUANTRON bietet zusätzlich für alle QHM FCEV Trucks ein optional erhältliches Aeropaket, welches die Reichweite nochmals um weitere 10 % verbessert.</w:t>
      </w:r>
    </w:p>
    <w:p w14:paraId="12E30308" w14:textId="77777777" w:rsidR="003839E4" w:rsidRPr="000F6F08" w:rsidRDefault="003839E4" w:rsidP="00D414C4">
      <w:pPr>
        <w:spacing w:after="0" w:line="324" w:lineRule="auto"/>
        <w:rPr>
          <w:rFonts w:cstheme="minorHAnsi"/>
        </w:rPr>
      </w:pPr>
    </w:p>
    <w:p w14:paraId="78A15B88" w14:textId="18C7C76C" w:rsidR="00F17CE7" w:rsidRDefault="00C304CB" w:rsidP="002A70FC">
      <w:pPr>
        <w:pStyle w:val="01Flietext"/>
        <w:contextualSpacing/>
        <w:rPr>
          <w:rFonts w:asciiTheme="minorHAnsi" w:hAnsiTheme="minorHAnsi" w:cstheme="minorHAnsi"/>
        </w:rPr>
      </w:pPr>
      <w:r w:rsidRPr="004628EA">
        <w:rPr>
          <w:rFonts w:asciiTheme="minorHAnsi" w:hAnsiTheme="minorHAnsi" w:cstheme="minorHAnsi"/>
        </w:rPr>
        <w:t xml:space="preserve">Als Sattelzugmaschine für </w:t>
      </w:r>
      <w:r w:rsidR="001002D1" w:rsidRPr="004628EA">
        <w:rPr>
          <w:rFonts w:asciiTheme="minorHAnsi" w:hAnsiTheme="minorHAnsi" w:cstheme="minorHAnsi"/>
        </w:rPr>
        <w:t xml:space="preserve">den schweren Fernverkehr </w:t>
      </w:r>
      <w:r w:rsidR="00B703FF" w:rsidRPr="004628EA">
        <w:rPr>
          <w:rFonts w:asciiTheme="minorHAnsi" w:hAnsiTheme="minorHAnsi" w:cstheme="minorHAnsi"/>
        </w:rPr>
        <w:t>besticht</w:t>
      </w:r>
      <w:r w:rsidRPr="004628EA">
        <w:rPr>
          <w:rFonts w:asciiTheme="minorHAnsi" w:hAnsiTheme="minorHAnsi" w:cstheme="minorHAnsi"/>
        </w:rPr>
        <w:t xml:space="preserve"> der </w:t>
      </w:r>
      <w:r w:rsidRPr="004628EA">
        <w:rPr>
          <w:rFonts w:asciiTheme="minorHAnsi" w:hAnsiTheme="minorHAnsi" w:cstheme="minorHAnsi"/>
          <w:b/>
        </w:rPr>
        <w:t xml:space="preserve">QUANTRON QHM FCEV </w:t>
      </w:r>
      <w:r w:rsidR="00F92554" w:rsidRPr="004628EA">
        <w:rPr>
          <w:rFonts w:asciiTheme="minorHAnsi" w:hAnsiTheme="minorHAnsi" w:cstheme="minorHAnsi"/>
          <w:b/>
        </w:rPr>
        <w:t>44</w:t>
      </w:r>
      <w:r w:rsidRPr="004628EA">
        <w:rPr>
          <w:rFonts w:asciiTheme="minorHAnsi" w:hAnsiTheme="minorHAnsi" w:cstheme="minorHAnsi"/>
          <w:b/>
        </w:rPr>
        <w:t>-1000</w:t>
      </w:r>
      <w:r w:rsidRPr="004628EA">
        <w:rPr>
          <w:rFonts w:asciiTheme="minorHAnsi" w:hAnsiTheme="minorHAnsi" w:cstheme="minorHAnsi"/>
        </w:rPr>
        <w:t xml:space="preserve"> durch eine Reihe von Alleinstellungsmerkmalen</w:t>
      </w:r>
      <w:r w:rsidR="00AB3770" w:rsidRPr="004628EA">
        <w:rPr>
          <w:rFonts w:asciiTheme="minorHAnsi" w:hAnsiTheme="minorHAnsi" w:cstheme="minorHAnsi"/>
        </w:rPr>
        <w:t>:</w:t>
      </w:r>
    </w:p>
    <w:p w14:paraId="433A4B3B" w14:textId="77777777" w:rsidR="00BA47F7" w:rsidRPr="004628EA" w:rsidRDefault="00BA47F7" w:rsidP="002A70FC">
      <w:pPr>
        <w:pStyle w:val="01Flietext"/>
        <w:contextualSpacing/>
        <w:rPr>
          <w:rFonts w:asciiTheme="minorHAnsi" w:hAnsiTheme="minorHAnsi" w:cstheme="minorHAnsi"/>
        </w:rPr>
      </w:pPr>
    </w:p>
    <w:p w14:paraId="7D8FBB4F" w14:textId="77777777" w:rsidR="00426B96" w:rsidRPr="00AA51EB" w:rsidRDefault="00426B96">
      <w:pPr>
        <w:pStyle w:val="01Flietext"/>
        <w:numPr>
          <w:ilvl w:val="0"/>
          <w:numId w:val="9"/>
        </w:numPr>
        <w:contextualSpacing/>
        <w:rPr>
          <w:rFonts w:asciiTheme="minorHAnsi" w:hAnsiTheme="minorHAnsi" w:cstheme="minorHAnsi"/>
          <w:b/>
          <w:bCs/>
        </w:rPr>
      </w:pPr>
      <w:r w:rsidRPr="00AA51EB">
        <w:rPr>
          <w:rFonts w:asciiTheme="minorHAnsi" w:hAnsiTheme="minorHAnsi" w:cstheme="minorHAnsi"/>
        </w:rPr>
        <w:t>E</w:t>
      </w:r>
      <w:r w:rsidR="00C304CB" w:rsidRPr="00AA51EB">
        <w:rPr>
          <w:rFonts w:asciiTheme="minorHAnsi" w:hAnsiTheme="minorHAnsi" w:cstheme="minorHAnsi"/>
        </w:rPr>
        <w:t xml:space="preserve">ine </w:t>
      </w:r>
      <w:r w:rsidR="00C304CB" w:rsidRPr="00AA51EB">
        <w:rPr>
          <w:rFonts w:asciiTheme="minorHAnsi" w:hAnsiTheme="minorHAnsi" w:cstheme="minorHAnsi"/>
          <w:b/>
          <w:bCs/>
        </w:rPr>
        <w:t>Reichweite von</w:t>
      </w:r>
      <w:r w:rsidR="004F414E" w:rsidRPr="00AA51EB">
        <w:rPr>
          <w:rFonts w:asciiTheme="minorHAnsi" w:hAnsiTheme="minorHAnsi" w:cstheme="minorHAnsi"/>
          <w:b/>
          <w:bCs/>
        </w:rPr>
        <w:t xml:space="preserve"> rund</w:t>
      </w:r>
      <w:r w:rsidR="00EE699E" w:rsidRPr="00AA51EB">
        <w:rPr>
          <w:rFonts w:asciiTheme="minorHAnsi" w:hAnsiTheme="minorHAnsi" w:cstheme="minorHAnsi"/>
          <w:b/>
        </w:rPr>
        <w:t xml:space="preserve"> </w:t>
      </w:r>
      <w:r w:rsidR="00C304CB" w:rsidRPr="00AA51EB">
        <w:rPr>
          <w:rFonts w:asciiTheme="minorHAnsi" w:hAnsiTheme="minorHAnsi" w:cstheme="minorHAnsi"/>
          <w:b/>
        </w:rPr>
        <w:t>700 km</w:t>
      </w:r>
      <w:r w:rsidR="00EE699E" w:rsidRPr="00AA51EB">
        <w:rPr>
          <w:rFonts w:asciiTheme="minorHAnsi" w:hAnsiTheme="minorHAnsi" w:cstheme="minorHAnsi"/>
        </w:rPr>
        <w:t xml:space="preserve"> je nach Auslastung und topographischen Anforderungen</w:t>
      </w:r>
    </w:p>
    <w:p w14:paraId="31ACCEC9" w14:textId="018FC2A9" w:rsidR="00426B96" w:rsidRPr="00AA51EB" w:rsidRDefault="00F84118" w:rsidP="00426B96">
      <w:pPr>
        <w:pStyle w:val="01Flietext"/>
        <w:numPr>
          <w:ilvl w:val="0"/>
          <w:numId w:val="9"/>
        </w:numPr>
        <w:contextualSpacing/>
        <w:rPr>
          <w:rFonts w:asciiTheme="minorHAnsi" w:hAnsiTheme="minorHAnsi" w:cstheme="minorHAnsi"/>
          <w:b/>
          <w:bCs/>
        </w:rPr>
      </w:pPr>
      <w:r w:rsidRPr="00AA51EB">
        <w:rPr>
          <w:rFonts w:asciiTheme="minorHAnsi" w:hAnsiTheme="minorHAnsi" w:cstheme="minorHAnsi"/>
          <w:b/>
          <w:bCs/>
        </w:rPr>
        <w:t>Integration</w:t>
      </w:r>
      <w:r w:rsidR="006C0733" w:rsidRPr="00AA51EB">
        <w:rPr>
          <w:rFonts w:asciiTheme="minorHAnsi" w:hAnsiTheme="minorHAnsi" w:cstheme="minorHAnsi"/>
          <w:b/>
          <w:bCs/>
        </w:rPr>
        <w:t xml:space="preserve"> sämtlicher Komponenten innerhalb der Rahmenstruktur</w:t>
      </w:r>
      <w:r w:rsidR="006C0733" w:rsidRPr="00AA51EB">
        <w:rPr>
          <w:rFonts w:asciiTheme="minorHAnsi" w:hAnsiTheme="minorHAnsi" w:cstheme="minorHAnsi"/>
        </w:rPr>
        <w:t xml:space="preserve"> für maximale Alltagstauglichkeit - </w:t>
      </w:r>
      <w:r w:rsidR="00EA1299" w:rsidRPr="00AA51EB">
        <w:rPr>
          <w:rFonts w:asciiTheme="minorHAnsi" w:hAnsiTheme="minorHAnsi" w:cstheme="minorHAnsi"/>
        </w:rPr>
        <w:t xml:space="preserve">unter Einhaltung der gesetzlichen Vorgaben und ohne Kompromisse in </w:t>
      </w:r>
      <w:r w:rsidR="00965688" w:rsidRPr="00AA51EB">
        <w:rPr>
          <w:rFonts w:asciiTheme="minorHAnsi" w:hAnsiTheme="minorHAnsi" w:cstheme="minorHAnsi"/>
        </w:rPr>
        <w:t xml:space="preserve">den </w:t>
      </w:r>
      <w:r w:rsidR="00EA1299" w:rsidRPr="00AA51EB">
        <w:rPr>
          <w:rFonts w:asciiTheme="minorHAnsi" w:hAnsiTheme="minorHAnsi" w:cstheme="minorHAnsi"/>
        </w:rPr>
        <w:t>Abmessungen</w:t>
      </w:r>
    </w:p>
    <w:p w14:paraId="6BEC6503" w14:textId="032B7543" w:rsidR="00426B96" w:rsidRPr="00AA51EB" w:rsidRDefault="00EA1299" w:rsidP="00426B96">
      <w:pPr>
        <w:pStyle w:val="01Flietext"/>
        <w:numPr>
          <w:ilvl w:val="0"/>
          <w:numId w:val="9"/>
        </w:numPr>
        <w:contextualSpacing/>
        <w:rPr>
          <w:rFonts w:asciiTheme="minorHAnsi" w:hAnsiTheme="minorHAnsi" w:cstheme="minorHAnsi"/>
          <w:b/>
          <w:bCs/>
        </w:rPr>
      </w:pPr>
      <w:r w:rsidRPr="00AA51EB">
        <w:rPr>
          <w:rFonts w:asciiTheme="minorHAnsi" w:hAnsiTheme="minorHAnsi" w:cstheme="minorHAnsi"/>
        </w:rPr>
        <w:t>Anwendung der ISO Richtlinie bei Sattelzugkombinationen zur Gewährleistung der Austauschbarkeit von Sattelaufliegern und Sattelzugmaschinen auf nationaler und internationaler Ebene</w:t>
      </w:r>
      <w:r w:rsidR="00F17CE7" w:rsidRPr="00AA51EB">
        <w:rPr>
          <w:rFonts w:asciiTheme="minorHAnsi" w:hAnsiTheme="minorHAnsi" w:cstheme="minorHAnsi"/>
        </w:rPr>
        <w:t xml:space="preserve"> </w:t>
      </w:r>
    </w:p>
    <w:p w14:paraId="4268E59D" w14:textId="2EB0C50D" w:rsidR="00426B96" w:rsidRPr="00AA51EB" w:rsidRDefault="00EA1299" w:rsidP="00426B96">
      <w:pPr>
        <w:pStyle w:val="01Flietext"/>
        <w:numPr>
          <w:ilvl w:val="0"/>
          <w:numId w:val="9"/>
        </w:numPr>
        <w:contextualSpacing/>
        <w:rPr>
          <w:rFonts w:asciiTheme="minorHAnsi" w:hAnsiTheme="minorHAnsi" w:cstheme="minorHAnsi"/>
          <w:b/>
          <w:bCs/>
        </w:rPr>
      </w:pPr>
      <w:r w:rsidRPr="00AA51EB">
        <w:rPr>
          <w:rFonts w:asciiTheme="minorHAnsi" w:hAnsiTheme="minorHAnsi" w:cstheme="minorHAnsi"/>
        </w:rPr>
        <w:t>Fernfahrerkabine</w:t>
      </w:r>
    </w:p>
    <w:p w14:paraId="6461C282" w14:textId="58C7ABBE" w:rsidR="00426B96" w:rsidRPr="00AA51EB" w:rsidRDefault="00AA51EB" w:rsidP="00426B96">
      <w:pPr>
        <w:pStyle w:val="01Flietext"/>
        <w:numPr>
          <w:ilvl w:val="0"/>
          <w:numId w:val="9"/>
        </w:numPr>
        <w:contextualSpacing/>
        <w:rPr>
          <w:rFonts w:asciiTheme="minorHAnsi" w:hAnsiTheme="minorHAnsi" w:cstheme="minorHAnsi"/>
          <w:b/>
          <w:bCs/>
        </w:rPr>
      </w:pPr>
      <w:r>
        <w:rPr>
          <w:rFonts w:asciiTheme="minorHAnsi" w:hAnsiTheme="minorHAnsi" w:cstheme="minorHAnsi"/>
        </w:rPr>
        <w:t>V</w:t>
      </w:r>
      <w:r w:rsidR="00426B96" w:rsidRPr="00AA51EB">
        <w:rPr>
          <w:rFonts w:asciiTheme="minorHAnsi" w:hAnsiTheme="minorHAnsi" w:cstheme="minorHAnsi"/>
        </w:rPr>
        <w:t xml:space="preserve">oll im Chassis integrierter </w:t>
      </w:r>
      <w:r w:rsidR="00C304CB" w:rsidRPr="00AA51EB">
        <w:rPr>
          <w:rFonts w:asciiTheme="minorHAnsi" w:hAnsiTheme="minorHAnsi" w:cstheme="minorHAnsi"/>
        </w:rPr>
        <w:t xml:space="preserve">Wasserstofftank von </w:t>
      </w:r>
      <w:r w:rsidR="002410ED" w:rsidRPr="00AA51EB">
        <w:rPr>
          <w:rFonts w:asciiTheme="minorHAnsi" w:hAnsiTheme="minorHAnsi" w:cstheme="minorHAnsi"/>
        </w:rPr>
        <w:t xml:space="preserve">rund </w:t>
      </w:r>
      <w:r w:rsidR="00C304CB" w:rsidRPr="00AA51EB">
        <w:rPr>
          <w:rFonts w:asciiTheme="minorHAnsi" w:hAnsiTheme="minorHAnsi" w:cstheme="minorHAnsi"/>
        </w:rPr>
        <w:t>5</w:t>
      </w:r>
      <w:r w:rsidR="002410ED" w:rsidRPr="00AA51EB">
        <w:rPr>
          <w:rFonts w:asciiTheme="minorHAnsi" w:hAnsiTheme="minorHAnsi" w:cstheme="minorHAnsi"/>
        </w:rPr>
        <w:t>4</w:t>
      </w:r>
      <w:r w:rsidR="00C304CB" w:rsidRPr="00AA51EB">
        <w:rPr>
          <w:rFonts w:asciiTheme="minorHAnsi" w:hAnsiTheme="minorHAnsi" w:cstheme="minorHAnsi"/>
        </w:rPr>
        <w:t xml:space="preserve"> kg</w:t>
      </w:r>
    </w:p>
    <w:p w14:paraId="34BDECA3" w14:textId="5A710173" w:rsidR="00426B96" w:rsidRPr="00AA51EB" w:rsidRDefault="00AA51EB" w:rsidP="00426B96">
      <w:pPr>
        <w:pStyle w:val="01Flietext"/>
        <w:numPr>
          <w:ilvl w:val="0"/>
          <w:numId w:val="9"/>
        </w:numPr>
        <w:contextualSpacing/>
        <w:rPr>
          <w:rFonts w:asciiTheme="minorHAnsi" w:hAnsiTheme="minorHAnsi" w:cstheme="minorHAnsi"/>
          <w:b/>
          <w:bCs/>
        </w:rPr>
      </w:pPr>
      <w:r>
        <w:rPr>
          <w:rFonts w:asciiTheme="minorHAnsi" w:hAnsiTheme="minorHAnsi" w:cstheme="minorHAnsi"/>
        </w:rPr>
        <w:t>O</w:t>
      </w:r>
      <w:r w:rsidR="007E428A" w:rsidRPr="00AA51EB">
        <w:rPr>
          <w:rFonts w:asciiTheme="minorHAnsi" w:hAnsiTheme="minorHAnsi" w:cstheme="minorHAnsi"/>
        </w:rPr>
        <w:t>ptimiert</w:t>
      </w:r>
      <w:r w:rsidR="00426B96" w:rsidRPr="00AA51EB">
        <w:rPr>
          <w:rFonts w:asciiTheme="minorHAnsi" w:hAnsiTheme="minorHAnsi" w:cstheme="minorHAnsi"/>
        </w:rPr>
        <w:t>er</w:t>
      </w:r>
      <w:r w:rsidR="007E428A" w:rsidRPr="00AA51EB">
        <w:rPr>
          <w:rFonts w:asciiTheme="minorHAnsi" w:hAnsiTheme="minorHAnsi" w:cstheme="minorHAnsi"/>
        </w:rPr>
        <w:t xml:space="preserve"> H</w:t>
      </w:r>
      <w:r w:rsidR="007E428A" w:rsidRPr="00AA51EB">
        <w:rPr>
          <w:rFonts w:asciiTheme="minorHAnsi" w:hAnsiTheme="minorHAnsi" w:cstheme="minorHAnsi"/>
          <w:vertAlign w:val="subscript"/>
        </w:rPr>
        <w:t xml:space="preserve">2 </w:t>
      </w:r>
      <w:r w:rsidR="007E428A" w:rsidRPr="00AA51EB">
        <w:rPr>
          <w:rFonts w:asciiTheme="minorHAnsi" w:hAnsiTheme="minorHAnsi" w:cstheme="minorHAnsi"/>
        </w:rPr>
        <w:t xml:space="preserve">Verbrauch durch eigens entwickeltes </w:t>
      </w:r>
      <w:r w:rsidR="007E428A" w:rsidRPr="00AA51EB">
        <w:rPr>
          <w:rFonts w:asciiTheme="minorHAnsi" w:hAnsiTheme="minorHAnsi" w:cstheme="minorHAnsi"/>
          <w:b/>
        </w:rPr>
        <w:t>intelligentes Q-ENERGY Managementsystem</w:t>
      </w:r>
    </w:p>
    <w:p w14:paraId="4D045604" w14:textId="6E0C884D" w:rsidR="00426B96" w:rsidRPr="00AA51EB" w:rsidRDefault="008507AD" w:rsidP="00426B96">
      <w:pPr>
        <w:pStyle w:val="01Flietext"/>
        <w:numPr>
          <w:ilvl w:val="0"/>
          <w:numId w:val="9"/>
        </w:numPr>
        <w:contextualSpacing/>
        <w:rPr>
          <w:rFonts w:asciiTheme="minorHAnsi" w:hAnsiTheme="minorHAnsi" w:cstheme="minorHAnsi"/>
          <w:b/>
          <w:bCs/>
        </w:rPr>
      </w:pPr>
      <w:r>
        <w:rPr>
          <w:rFonts w:asciiTheme="minorHAnsi" w:hAnsiTheme="minorHAnsi" w:cstheme="minorHAnsi"/>
          <w:b/>
        </w:rPr>
        <w:t>M</w:t>
      </w:r>
      <w:r w:rsidR="007E428A" w:rsidRPr="00AA51EB">
        <w:rPr>
          <w:rFonts w:asciiTheme="minorHAnsi" w:hAnsiTheme="minorHAnsi" w:cstheme="minorHAnsi"/>
          <w:b/>
        </w:rPr>
        <w:t xml:space="preserve">aximale Effizienz </w:t>
      </w:r>
      <w:r w:rsidR="007E428A" w:rsidRPr="00AA51EB">
        <w:rPr>
          <w:rFonts w:asciiTheme="minorHAnsi" w:hAnsiTheme="minorHAnsi" w:cstheme="minorHAnsi"/>
        </w:rPr>
        <w:t xml:space="preserve">im Zusammenspiel zwischen E-Achse, </w:t>
      </w:r>
      <w:r w:rsidR="00A44BCE" w:rsidRPr="00AA51EB">
        <w:rPr>
          <w:rFonts w:asciiTheme="minorHAnsi" w:hAnsiTheme="minorHAnsi" w:cstheme="minorHAnsi"/>
        </w:rPr>
        <w:t>Brennstoffzelle</w:t>
      </w:r>
      <w:r w:rsidR="007E428A" w:rsidRPr="00AA51EB">
        <w:rPr>
          <w:rFonts w:asciiTheme="minorHAnsi" w:hAnsiTheme="minorHAnsi" w:cstheme="minorHAnsi"/>
        </w:rPr>
        <w:t>, Hochvolt</w:t>
      </w:r>
      <w:r w:rsidR="00AA51EB">
        <w:rPr>
          <w:rFonts w:asciiTheme="minorHAnsi" w:hAnsiTheme="minorHAnsi" w:cstheme="minorHAnsi"/>
        </w:rPr>
        <w:t>-</w:t>
      </w:r>
      <w:r w:rsidR="007E428A" w:rsidRPr="00AA51EB">
        <w:rPr>
          <w:rFonts w:asciiTheme="minorHAnsi" w:hAnsiTheme="minorHAnsi" w:cstheme="minorHAnsi"/>
        </w:rPr>
        <w:t>Batterie und 24V- sowie HV-Nebenverbrauchern</w:t>
      </w:r>
      <w:r w:rsidR="002A70FC" w:rsidRPr="00AA51EB">
        <w:rPr>
          <w:rFonts w:asciiTheme="minorHAnsi" w:hAnsiTheme="minorHAnsi" w:cstheme="minorHAnsi"/>
        </w:rPr>
        <w:t xml:space="preserve"> </w:t>
      </w:r>
    </w:p>
    <w:p w14:paraId="27505DCB" w14:textId="1F2200FB" w:rsidR="005D413D" w:rsidRPr="00AA51EB" w:rsidRDefault="00AA51EB" w:rsidP="00426B96">
      <w:pPr>
        <w:pStyle w:val="01Flietext"/>
        <w:numPr>
          <w:ilvl w:val="0"/>
          <w:numId w:val="9"/>
        </w:numPr>
        <w:contextualSpacing/>
        <w:rPr>
          <w:rFonts w:asciiTheme="minorHAnsi" w:hAnsiTheme="minorHAnsi" w:cstheme="minorHAnsi"/>
          <w:b/>
          <w:bCs/>
        </w:rPr>
      </w:pPr>
      <w:r>
        <w:rPr>
          <w:rFonts w:asciiTheme="minorHAnsi" w:hAnsiTheme="minorHAnsi" w:cstheme="minorHAnsi"/>
        </w:rPr>
        <w:t>A</w:t>
      </w:r>
      <w:r w:rsidR="00C304CB" w:rsidRPr="00AA51EB">
        <w:rPr>
          <w:rFonts w:asciiTheme="minorHAnsi" w:hAnsiTheme="minorHAnsi" w:cstheme="minorHAnsi"/>
        </w:rPr>
        <w:t xml:space="preserve">b </w:t>
      </w:r>
      <w:r w:rsidR="00866A55" w:rsidRPr="00AA51EB">
        <w:rPr>
          <w:rFonts w:asciiTheme="minorHAnsi" w:hAnsiTheme="minorHAnsi" w:cstheme="minorHAnsi"/>
        </w:rPr>
        <w:t xml:space="preserve">sofort bestellbar und in </w:t>
      </w:r>
      <w:r w:rsidR="00C304CB" w:rsidRPr="00AA51EB">
        <w:rPr>
          <w:rFonts w:asciiTheme="minorHAnsi" w:hAnsiTheme="minorHAnsi" w:cstheme="minorHAnsi"/>
        </w:rPr>
        <w:t xml:space="preserve">Q2 2023 </w:t>
      </w:r>
      <w:r w:rsidR="00866A55" w:rsidRPr="00AA51EB">
        <w:rPr>
          <w:rFonts w:asciiTheme="minorHAnsi" w:hAnsiTheme="minorHAnsi" w:cstheme="minorHAnsi"/>
        </w:rPr>
        <w:t>lieferbar</w:t>
      </w:r>
      <w:r w:rsidR="00C304CB" w:rsidRPr="00AA51EB">
        <w:rPr>
          <w:rFonts w:asciiTheme="minorHAnsi" w:hAnsiTheme="minorHAnsi" w:cstheme="minorHAnsi"/>
        </w:rPr>
        <w:t xml:space="preserve"> </w:t>
      </w:r>
    </w:p>
    <w:p w14:paraId="20C45B84" w14:textId="77777777" w:rsidR="006045B4" w:rsidRDefault="00426B96" w:rsidP="00F71252">
      <w:pPr>
        <w:spacing w:after="0" w:line="324" w:lineRule="auto"/>
        <w:rPr>
          <w:rFonts w:cstheme="minorHAnsi"/>
          <w:b/>
          <w:bCs/>
        </w:rPr>
      </w:pPr>
      <w:r w:rsidRPr="006045B4">
        <w:rPr>
          <w:rFonts w:cstheme="minorHAnsi"/>
          <w:b/>
          <w:bCs/>
        </w:rPr>
        <w:t>W</w:t>
      </w:r>
      <w:r w:rsidR="008F0F69" w:rsidRPr="006045B4">
        <w:rPr>
          <w:rFonts w:cstheme="minorHAnsi"/>
          <w:b/>
          <w:bCs/>
        </w:rPr>
        <w:t>eitere</w:t>
      </w:r>
      <w:r w:rsidRPr="006045B4">
        <w:rPr>
          <w:rFonts w:cstheme="minorHAnsi"/>
          <w:b/>
          <w:bCs/>
        </w:rPr>
        <w:t>s</w:t>
      </w:r>
      <w:r w:rsidR="008F0F69" w:rsidRPr="006045B4">
        <w:rPr>
          <w:rFonts w:cstheme="minorHAnsi"/>
          <w:b/>
          <w:bCs/>
        </w:rPr>
        <w:t xml:space="preserve"> Highlight</w:t>
      </w:r>
      <w:r w:rsidRPr="006045B4">
        <w:rPr>
          <w:rFonts w:cstheme="minorHAnsi"/>
          <w:b/>
          <w:bCs/>
        </w:rPr>
        <w:t>:</w:t>
      </w:r>
      <w:r w:rsidR="009D4272" w:rsidRPr="006045B4">
        <w:rPr>
          <w:rFonts w:cstheme="minorHAnsi"/>
          <w:b/>
          <w:bCs/>
        </w:rPr>
        <w:t xml:space="preserve"> Sattelzugvariante</w:t>
      </w:r>
      <w:r w:rsidRPr="006045B4">
        <w:rPr>
          <w:rFonts w:cstheme="minorHAnsi"/>
          <w:b/>
          <w:bCs/>
        </w:rPr>
        <w:t xml:space="preserve"> </w:t>
      </w:r>
      <w:r w:rsidR="009D4272" w:rsidRPr="006045B4">
        <w:rPr>
          <w:rFonts w:cstheme="minorHAnsi"/>
          <w:b/>
          <w:bCs/>
        </w:rPr>
        <w:t xml:space="preserve">auf gleicher Basis </w:t>
      </w:r>
      <w:r w:rsidR="00ED384D" w:rsidRPr="006045B4">
        <w:rPr>
          <w:rFonts w:cstheme="minorHAnsi"/>
          <w:b/>
          <w:bCs/>
        </w:rPr>
        <w:t>für den Einsatz in Norwegen</w:t>
      </w:r>
      <w:r w:rsidR="00EB5995" w:rsidRPr="006045B4">
        <w:rPr>
          <w:rFonts w:cstheme="minorHAnsi"/>
          <w:b/>
          <w:bCs/>
        </w:rPr>
        <w:t>:</w:t>
      </w:r>
    </w:p>
    <w:p w14:paraId="14C0D2B8" w14:textId="3342B271" w:rsidR="00723BC7" w:rsidRPr="00D872A2" w:rsidRDefault="00EB5995" w:rsidP="00F71252">
      <w:pPr>
        <w:spacing w:after="0" w:line="324" w:lineRule="auto"/>
        <w:rPr>
          <w:rFonts w:cstheme="minorHAnsi"/>
          <w:b/>
        </w:rPr>
      </w:pPr>
      <w:r w:rsidRPr="00A67CBA">
        <w:rPr>
          <w:rFonts w:cstheme="minorHAnsi"/>
        </w:rPr>
        <w:br/>
      </w:r>
      <w:r w:rsidR="00C304CB" w:rsidRPr="00A67CBA">
        <w:rPr>
          <w:rFonts w:cstheme="minorHAnsi"/>
          <w:b/>
        </w:rPr>
        <w:t>QUANTRON QHM FCEV 6</w:t>
      </w:r>
      <w:r w:rsidR="00556333" w:rsidRPr="00A67CBA">
        <w:rPr>
          <w:rFonts w:cstheme="minorHAnsi"/>
          <w:b/>
        </w:rPr>
        <w:t>0</w:t>
      </w:r>
      <w:r w:rsidR="00C304CB" w:rsidRPr="00A67CBA">
        <w:rPr>
          <w:rFonts w:cstheme="minorHAnsi"/>
          <w:b/>
        </w:rPr>
        <w:t>-2000</w:t>
      </w:r>
      <w:r w:rsidR="00D90F16" w:rsidRPr="00A67CBA">
        <w:rPr>
          <w:rFonts w:cstheme="minorHAnsi"/>
          <w:b/>
        </w:rPr>
        <w:t xml:space="preserve"> </w:t>
      </w:r>
      <w:r w:rsidR="000F0DBD" w:rsidRPr="00A67CBA">
        <w:rPr>
          <w:rFonts w:cstheme="minorHAnsi"/>
        </w:rPr>
        <w:t>und</w:t>
      </w:r>
      <w:r w:rsidRPr="00A67CBA">
        <w:rPr>
          <w:rFonts w:cstheme="minorHAnsi"/>
          <w:b/>
        </w:rPr>
        <w:t xml:space="preserve"> QUANTRON QHM FCEV 44-2000</w:t>
      </w:r>
      <w:r w:rsidR="00C304CB" w:rsidRPr="00A67CBA">
        <w:rPr>
          <w:rFonts w:cstheme="minorHAnsi"/>
        </w:rPr>
        <w:t xml:space="preserve"> </w:t>
      </w:r>
      <w:r w:rsidR="005410EA" w:rsidRPr="00A67CBA">
        <w:rPr>
          <w:rFonts w:cstheme="minorHAnsi"/>
        </w:rPr>
        <w:t>heb</w:t>
      </w:r>
      <w:r w:rsidRPr="00A67CBA">
        <w:rPr>
          <w:rFonts w:cstheme="minorHAnsi"/>
        </w:rPr>
        <w:t>en</w:t>
      </w:r>
      <w:r w:rsidR="005410EA" w:rsidRPr="00985FAF">
        <w:rPr>
          <w:rFonts w:cstheme="minorHAnsi"/>
        </w:rPr>
        <w:t xml:space="preserve"> </w:t>
      </w:r>
      <w:r w:rsidR="00C304CB" w:rsidRPr="00985FAF">
        <w:rPr>
          <w:rFonts w:cstheme="minorHAnsi"/>
        </w:rPr>
        <w:t>sich im Wettbewerbssegment durch außerordentlich große Tankkapazität</w:t>
      </w:r>
      <w:r>
        <w:rPr>
          <w:rFonts w:cstheme="minorHAnsi"/>
        </w:rPr>
        <w:t>en</w:t>
      </w:r>
      <w:r w:rsidR="00C304CB" w:rsidRPr="00985FAF">
        <w:rPr>
          <w:rFonts w:cstheme="minorHAnsi"/>
        </w:rPr>
        <w:t xml:space="preserve"> von </w:t>
      </w:r>
      <w:r w:rsidR="00197645" w:rsidRPr="00FC7E34">
        <w:rPr>
          <w:rFonts w:cstheme="minorHAnsi"/>
          <w:b/>
        </w:rPr>
        <w:t xml:space="preserve">bis zu </w:t>
      </w:r>
      <w:r w:rsidR="00C304CB" w:rsidRPr="00FC7E34">
        <w:rPr>
          <w:rFonts w:cstheme="minorHAnsi"/>
          <w:b/>
        </w:rPr>
        <w:t>116 kg</w:t>
      </w:r>
      <w:r w:rsidR="00C304CB" w:rsidRPr="00985FAF">
        <w:rPr>
          <w:rFonts w:cstheme="minorHAnsi"/>
        </w:rPr>
        <w:t xml:space="preserve"> </w:t>
      </w:r>
      <w:r w:rsidR="00A306C2">
        <w:rPr>
          <w:rFonts w:cstheme="minorHAnsi"/>
        </w:rPr>
        <w:t xml:space="preserve">hervor, </w:t>
      </w:r>
      <w:r w:rsidR="00EE772A">
        <w:rPr>
          <w:rFonts w:cstheme="minorHAnsi"/>
        </w:rPr>
        <w:t xml:space="preserve">voll </w:t>
      </w:r>
      <w:r w:rsidR="008E6163">
        <w:rPr>
          <w:rFonts w:cstheme="minorHAnsi"/>
        </w:rPr>
        <w:t>integriert im Chassis und hinter der Kabine</w:t>
      </w:r>
      <w:r w:rsidR="00C304CB" w:rsidRPr="00985FAF">
        <w:rPr>
          <w:rFonts w:cstheme="minorHAnsi"/>
        </w:rPr>
        <w:t>.</w:t>
      </w:r>
      <w:r w:rsidR="00723BC7">
        <w:rPr>
          <w:rFonts w:cstheme="minorHAnsi"/>
        </w:rPr>
        <w:t xml:space="preserve"> Damit </w:t>
      </w:r>
      <w:r w:rsidR="00E93510">
        <w:rPr>
          <w:rFonts w:cstheme="minorHAnsi"/>
        </w:rPr>
        <w:t>werden</w:t>
      </w:r>
      <w:r w:rsidR="004220D5">
        <w:rPr>
          <w:rFonts w:cstheme="minorHAnsi"/>
        </w:rPr>
        <w:t xml:space="preserve"> mit einer einzigen H2-Tankfüllung</w:t>
      </w:r>
      <w:r w:rsidR="00AF3E3C">
        <w:rPr>
          <w:rFonts w:cstheme="minorHAnsi"/>
        </w:rPr>
        <w:t xml:space="preserve"> Rei</w:t>
      </w:r>
      <w:r w:rsidR="004B3A9B">
        <w:rPr>
          <w:rFonts w:cstheme="minorHAnsi"/>
        </w:rPr>
        <w:t>c</w:t>
      </w:r>
      <w:r w:rsidR="00AF3E3C">
        <w:rPr>
          <w:rFonts w:cstheme="minorHAnsi"/>
        </w:rPr>
        <w:t xml:space="preserve">hweiten </w:t>
      </w:r>
      <w:r w:rsidR="00723BC7">
        <w:rPr>
          <w:rFonts w:cstheme="minorHAnsi"/>
        </w:rPr>
        <w:t xml:space="preserve">von </w:t>
      </w:r>
      <w:r w:rsidR="00723BC7" w:rsidRPr="00D872A2">
        <w:rPr>
          <w:rFonts w:cstheme="minorHAnsi"/>
          <w:b/>
        </w:rPr>
        <w:t>bis zu 1500</w:t>
      </w:r>
      <w:r w:rsidR="008F0F69">
        <w:rPr>
          <w:rFonts w:cstheme="minorHAnsi"/>
          <w:b/>
        </w:rPr>
        <w:t xml:space="preserve"> </w:t>
      </w:r>
      <w:r w:rsidR="00723BC7" w:rsidRPr="00D872A2">
        <w:rPr>
          <w:rFonts w:cstheme="minorHAnsi"/>
          <w:b/>
        </w:rPr>
        <w:t xml:space="preserve">km </w:t>
      </w:r>
      <w:r w:rsidR="00E93510" w:rsidRPr="00E93510">
        <w:rPr>
          <w:rFonts w:cstheme="minorHAnsi"/>
        </w:rPr>
        <w:t>möglich sein</w:t>
      </w:r>
      <w:r w:rsidR="00AF3E3C" w:rsidRPr="00DE32D1">
        <w:rPr>
          <w:rFonts w:cstheme="minorHAnsi"/>
        </w:rPr>
        <w:t>.</w:t>
      </w:r>
    </w:p>
    <w:p w14:paraId="23310BA8" w14:textId="40D24C44" w:rsidR="005362FA" w:rsidRPr="00985FAF" w:rsidRDefault="00F71252" w:rsidP="00F71252">
      <w:pPr>
        <w:spacing w:after="0" w:line="324" w:lineRule="auto"/>
        <w:rPr>
          <w:rFonts w:cstheme="minorHAnsi"/>
        </w:rPr>
      </w:pPr>
      <w:r w:rsidRPr="00985FAF">
        <w:rPr>
          <w:rFonts w:cstheme="minorHAnsi"/>
        </w:rPr>
        <w:lastRenderedPageBreak/>
        <w:t>Unter der Bezeichnung</w:t>
      </w:r>
      <w:r w:rsidR="005362FA" w:rsidRPr="00985FAF">
        <w:rPr>
          <w:rFonts w:cstheme="minorHAnsi"/>
        </w:rPr>
        <w:t xml:space="preserve"> </w:t>
      </w:r>
      <w:r w:rsidR="000044D3" w:rsidRPr="00A67CBA">
        <w:rPr>
          <w:rFonts w:cstheme="minorHAnsi"/>
          <w:b/>
        </w:rPr>
        <w:t>QUANTRON QHM FCEV 2</w:t>
      </w:r>
      <w:r w:rsidR="000B6210" w:rsidRPr="00A67CBA">
        <w:rPr>
          <w:rFonts w:cstheme="minorHAnsi"/>
          <w:b/>
        </w:rPr>
        <w:t>7</w:t>
      </w:r>
      <w:r w:rsidR="000044D3" w:rsidRPr="00A67CBA">
        <w:rPr>
          <w:rFonts w:cstheme="minorHAnsi"/>
          <w:b/>
        </w:rPr>
        <w:t>-1000</w:t>
      </w:r>
      <w:r w:rsidR="005362FA" w:rsidRPr="00A67CBA">
        <w:rPr>
          <w:rFonts w:cstheme="minorHAnsi"/>
        </w:rPr>
        <w:t xml:space="preserve"> wird</w:t>
      </w:r>
      <w:r w:rsidR="000044D3" w:rsidRPr="00A67CBA">
        <w:rPr>
          <w:rFonts w:cstheme="minorHAnsi"/>
        </w:rPr>
        <w:t xml:space="preserve"> </w:t>
      </w:r>
      <w:r w:rsidR="005410EA" w:rsidRPr="00A67CBA">
        <w:rPr>
          <w:rFonts w:cstheme="minorHAnsi"/>
        </w:rPr>
        <w:t xml:space="preserve">diese Konfiguration </w:t>
      </w:r>
      <w:r w:rsidR="005362FA" w:rsidRPr="00A67CBA">
        <w:rPr>
          <w:rFonts w:cstheme="minorHAnsi"/>
        </w:rPr>
        <w:t xml:space="preserve">darüber hinaus auch </w:t>
      </w:r>
      <w:r w:rsidR="005410EA" w:rsidRPr="00A67CBA">
        <w:rPr>
          <w:rFonts w:cstheme="minorHAnsi"/>
        </w:rPr>
        <w:t xml:space="preserve">als </w:t>
      </w:r>
      <w:r w:rsidR="005775BA" w:rsidRPr="00A67CBA">
        <w:rPr>
          <w:rFonts w:cstheme="minorHAnsi"/>
        </w:rPr>
        <w:t>Gliederzugvariante</w:t>
      </w:r>
      <w:r w:rsidR="005410EA" w:rsidRPr="00A67CBA">
        <w:rPr>
          <w:rFonts w:cstheme="minorHAnsi"/>
        </w:rPr>
        <w:t xml:space="preserve"> </w:t>
      </w:r>
      <w:r w:rsidR="005775BA" w:rsidRPr="00A67CBA">
        <w:rPr>
          <w:rFonts w:cstheme="minorHAnsi"/>
        </w:rPr>
        <w:t xml:space="preserve">für den schweren Fernverkehr </w:t>
      </w:r>
      <w:r w:rsidR="005362FA" w:rsidRPr="00A67CBA">
        <w:rPr>
          <w:rFonts w:cstheme="minorHAnsi"/>
        </w:rPr>
        <w:t>verfügbar sein</w:t>
      </w:r>
      <w:r w:rsidR="005362FA" w:rsidRPr="00985FAF">
        <w:rPr>
          <w:rFonts w:cstheme="minorHAnsi"/>
        </w:rPr>
        <w:t>.</w:t>
      </w:r>
    </w:p>
    <w:p w14:paraId="56A27207" w14:textId="77777777" w:rsidR="00D5502C" w:rsidRPr="00D414C4" w:rsidRDefault="00D5502C" w:rsidP="00D414C4">
      <w:pPr>
        <w:spacing w:after="0" w:line="324" w:lineRule="auto"/>
        <w:rPr>
          <w:rFonts w:cstheme="minorHAnsi"/>
          <w:b/>
          <w:bCs/>
          <w:highlight w:val="yellow"/>
        </w:rPr>
      </w:pPr>
    </w:p>
    <w:p w14:paraId="1E290AF0" w14:textId="4B4182C2" w:rsidR="00D414C4" w:rsidRDefault="001E2FF3" w:rsidP="008842F5">
      <w:pPr>
        <w:rPr>
          <w:rFonts w:cstheme="minorHAnsi"/>
          <w:b/>
          <w:bCs/>
        </w:rPr>
      </w:pPr>
      <w:r>
        <w:rPr>
          <w:rFonts w:cstheme="minorHAnsi"/>
          <w:b/>
          <w:bCs/>
        </w:rPr>
        <w:t xml:space="preserve">Neue </w:t>
      </w:r>
      <w:r w:rsidR="00B05335" w:rsidRPr="00B05335">
        <w:rPr>
          <w:rFonts w:cstheme="minorHAnsi"/>
          <w:b/>
          <w:bCs/>
        </w:rPr>
        <w:t>Elektro-Truck</w:t>
      </w:r>
      <w:r w:rsidR="0068363F">
        <w:rPr>
          <w:rFonts w:cstheme="minorHAnsi"/>
          <w:b/>
          <w:bCs/>
        </w:rPr>
        <w:t xml:space="preserve"> Plattform</w:t>
      </w:r>
      <w:r w:rsidR="00B05335" w:rsidRPr="00B05335">
        <w:rPr>
          <w:rFonts w:cstheme="minorHAnsi"/>
          <w:b/>
          <w:bCs/>
        </w:rPr>
        <w:t xml:space="preserve">: </w:t>
      </w:r>
      <w:r w:rsidR="00D414C4" w:rsidRPr="00B05335">
        <w:rPr>
          <w:rFonts w:cstheme="minorHAnsi"/>
          <w:b/>
          <w:bCs/>
        </w:rPr>
        <w:t>QUANTRON QHM BEV</w:t>
      </w:r>
    </w:p>
    <w:p w14:paraId="2D0445B3" w14:textId="37B4C580" w:rsidR="0042656A" w:rsidRDefault="00DC6777" w:rsidP="005364C6">
      <w:pPr>
        <w:spacing w:after="0" w:line="324" w:lineRule="auto"/>
        <w:rPr>
          <w:rFonts w:cstheme="minorHAnsi"/>
        </w:rPr>
      </w:pPr>
      <w:r w:rsidRPr="008E4E1A">
        <w:rPr>
          <w:rFonts w:cstheme="minorHAnsi"/>
        </w:rPr>
        <w:t>Als weitere</w:t>
      </w:r>
      <w:r w:rsidR="002E59F2" w:rsidRPr="008E4E1A">
        <w:rPr>
          <w:rFonts w:cstheme="minorHAnsi"/>
        </w:rPr>
        <w:t xml:space="preserve"> </w:t>
      </w:r>
      <w:r w:rsidRPr="008E4E1A">
        <w:rPr>
          <w:rFonts w:cstheme="minorHAnsi"/>
        </w:rPr>
        <w:t xml:space="preserve">Weltneuheit präsentiert QUANTRON auf der IAA </w:t>
      </w:r>
      <w:r w:rsidR="006F7CD2">
        <w:rPr>
          <w:rFonts w:cstheme="minorHAnsi"/>
        </w:rPr>
        <w:t xml:space="preserve">Transportation </w:t>
      </w:r>
      <w:r w:rsidR="002B4011">
        <w:rPr>
          <w:rFonts w:cstheme="minorHAnsi"/>
        </w:rPr>
        <w:t xml:space="preserve">eine </w:t>
      </w:r>
      <w:r w:rsidR="002B4011" w:rsidRPr="008E4E1A">
        <w:rPr>
          <w:rFonts w:cstheme="minorHAnsi"/>
        </w:rPr>
        <w:t xml:space="preserve">vollelektrische </w:t>
      </w:r>
      <w:r w:rsidR="002B4011">
        <w:rPr>
          <w:rFonts w:cstheme="minorHAnsi"/>
        </w:rPr>
        <w:t xml:space="preserve">Heavy Duty </w:t>
      </w:r>
      <w:r w:rsidR="002B4011" w:rsidRPr="008E4E1A">
        <w:rPr>
          <w:rFonts w:cstheme="minorHAnsi"/>
        </w:rPr>
        <w:t xml:space="preserve">Truck </w:t>
      </w:r>
      <w:r w:rsidR="00F931C4">
        <w:rPr>
          <w:rFonts w:cstheme="minorHAnsi"/>
        </w:rPr>
        <w:t>Plattform</w:t>
      </w:r>
      <w:r w:rsidR="0068363F">
        <w:rPr>
          <w:rFonts w:cstheme="minorHAnsi"/>
        </w:rPr>
        <w:t>:</w:t>
      </w:r>
      <w:r w:rsidR="002B4011">
        <w:rPr>
          <w:rFonts w:cstheme="minorHAnsi"/>
        </w:rPr>
        <w:t xml:space="preserve"> Der </w:t>
      </w:r>
      <w:r w:rsidR="002B4011" w:rsidRPr="00FC73DB">
        <w:rPr>
          <w:rFonts w:cstheme="minorHAnsi"/>
          <w:b/>
        </w:rPr>
        <w:t>QUANTRON QHM BEV</w:t>
      </w:r>
      <w:r w:rsidR="00504D3A">
        <w:rPr>
          <w:rFonts w:cstheme="minorHAnsi"/>
        </w:rPr>
        <w:t xml:space="preserve"> </w:t>
      </w:r>
      <w:r w:rsidR="00846886" w:rsidRPr="00846886">
        <w:rPr>
          <w:rFonts w:cstheme="minorHAnsi"/>
        </w:rPr>
        <w:t>ist als</w:t>
      </w:r>
      <w:r w:rsidR="00504D3A">
        <w:rPr>
          <w:rFonts w:cstheme="minorHAnsi"/>
        </w:rPr>
        <w:t xml:space="preserve"> Sattelzugmaschine </w:t>
      </w:r>
      <w:r w:rsidR="00251C2E" w:rsidRPr="00FC73DB">
        <w:rPr>
          <w:rFonts w:cstheme="minorHAnsi"/>
          <w:b/>
        </w:rPr>
        <w:t xml:space="preserve">QUANTRON QHM BEV </w:t>
      </w:r>
      <w:r w:rsidR="00F92554" w:rsidRPr="00FC73DB">
        <w:rPr>
          <w:rFonts w:cstheme="minorHAnsi"/>
          <w:b/>
        </w:rPr>
        <w:t>44</w:t>
      </w:r>
      <w:r w:rsidR="00251C2E" w:rsidRPr="00FC73DB">
        <w:rPr>
          <w:rFonts w:cstheme="minorHAnsi"/>
          <w:b/>
        </w:rPr>
        <w:t>-400</w:t>
      </w:r>
      <w:r w:rsidR="00251C2E">
        <w:rPr>
          <w:rFonts w:cstheme="minorHAnsi"/>
        </w:rPr>
        <w:t xml:space="preserve"> </w:t>
      </w:r>
      <w:r w:rsidR="00504D3A">
        <w:rPr>
          <w:rFonts w:cstheme="minorHAnsi"/>
        </w:rPr>
        <w:t xml:space="preserve">sowie </w:t>
      </w:r>
      <w:r w:rsidR="007515B0">
        <w:rPr>
          <w:rFonts w:cstheme="minorHAnsi"/>
        </w:rPr>
        <w:t xml:space="preserve">als Chassis </w:t>
      </w:r>
      <w:r w:rsidR="00251C2E" w:rsidRPr="00FC73DB">
        <w:rPr>
          <w:rFonts w:cstheme="minorHAnsi"/>
          <w:b/>
        </w:rPr>
        <w:t>QUANTRON QHM BEV 2</w:t>
      </w:r>
      <w:r w:rsidR="000B6210">
        <w:rPr>
          <w:rFonts w:cstheme="minorHAnsi"/>
          <w:b/>
        </w:rPr>
        <w:t>7</w:t>
      </w:r>
      <w:r w:rsidR="00251C2E" w:rsidRPr="00FC73DB">
        <w:rPr>
          <w:rFonts w:cstheme="minorHAnsi"/>
          <w:b/>
        </w:rPr>
        <w:t>-400</w:t>
      </w:r>
      <w:r w:rsidR="00FC73DB">
        <w:rPr>
          <w:rFonts w:cstheme="minorHAnsi"/>
        </w:rPr>
        <w:t xml:space="preserve"> </w:t>
      </w:r>
      <w:r w:rsidR="007515B0">
        <w:rPr>
          <w:rFonts w:cstheme="minorHAnsi"/>
        </w:rPr>
        <w:t xml:space="preserve">in </w:t>
      </w:r>
      <w:r w:rsidR="00FC73DB">
        <w:rPr>
          <w:rFonts w:cstheme="minorHAnsi"/>
        </w:rPr>
        <w:t xml:space="preserve">einer </w:t>
      </w:r>
      <w:r w:rsidR="00BB5A28">
        <w:rPr>
          <w:rFonts w:cstheme="minorHAnsi"/>
        </w:rPr>
        <w:t>V</w:t>
      </w:r>
      <w:r w:rsidR="00FC73DB">
        <w:rPr>
          <w:rFonts w:cstheme="minorHAnsi"/>
        </w:rPr>
        <w:t>iel</w:t>
      </w:r>
      <w:r w:rsidR="00BB5A28">
        <w:rPr>
          <w:rFonts w:cstheme="minorHAnsi"/>
        </w:rPr>
        <w:t>zahl von</w:t>
      </w:r>
      <w:r w:rsidR="007515B0">
        <w:rPr>
          <w:rFonts w:cstheme="minorHAnsi"/>
        </w:rPr>
        <w:t xml:space="preserve"> Varianten </w:t>
      </w:r>
      <w:r w:rsidR="00251C2E">
        <w:rPr>
          <w:rFonts w:cstheme="minorHAnsi"/>
        </w:rPr>
        <w:t>erhältlich</w:t>
      </w:r>
      <w:r w:rsidR="00846886" w:rsidRPr="00846886">
        <w:rPr>
          <w:rFonts w:cstheme="minorHAnsi"/>
        </w:rPr>
        <w:t xml:space="preserve">. Die bis zu </w:t>
      </w:r>
      <w:r w:rsidR="00846886" w:rsidRPr="00BB5A28">
        <w:rPr>
          <w:rFonts w:cstheme="minorHAnsi"/>
          <w:b/>
        </w:rPr>
        <w:t>392 kWh</w:t>
      </w:r>
      <w:r w:rsidR="00846886" w:rsidRPr="00846886">
        <w:rPr>
          <w:rFonts w:cstheme="minorHAnsi"/>
        </w:rPr>
        <w:t xml:space="preserve"> große Hochvolt-Batterie kann mit Leistungen von </w:t>
      </w:r>
      <w:r w:rsidR="00846886" w:rsidRPr="00BB5A28">
        <w:rPr>
          <w:rFonts w:cstheme="minorHAnsi"/>
          <w:b/>
        </w:rPr>
        <w:t>bis zu 350 kW</w:t>
      </w:r>
      <w:r w:rsidR="00BB5A28">
        <w:rPr>
          <w:rFonts w:cstheme="minorHAnsi"/>
          <w:b/>
        </w:rPr>
        <w:t xml:space="preserve"> DC</w:t>
      </w:r>
      <w:r w:rsidR="00846886" w:rsidRPr="00846886">
        <w:rPr>
          <w:rFonts w:cstheme="minorHAnsi"/>
        </w:rPr>
        <w:t xml:space="preserve"> geladen werden</w:t>
      </w:r>
      <w:r w:rsidR="00251C2E">
        <w:rPr>
          <w:rFonts w:cstheme="minorHAnsi"/>
        </w:rPr>
        <w:t xml:space="preserve"> und hat eine </w:t>
      </w:r>
      <w:r w:rsidR="00251C2E" w:rsidRPr="00985FAF">
        <w:rPr>
          <w:rFonts w:cstheme="minorHAnsi"/>
        </w:rPr>
        <w:t xml:space="preserve">Reichweite von </w:t>
      </w:r>
      <w:r w:rsidR="00251C2E" w:rsidRPr="00BB5A28">
        <w:rPr>
          <w:rFonts w:cstheme="minorHAnsi"/>
          <w:b/>
        </w:rPr>
        <w:t>bis zu 350 km</w:t>
      </w:r>
      <w:r w:rsidR="00616CE9" w:rsidRPr="00985FAF">
        <w:rPr>
          <w:rFonts w:cstheme="minorHAnsi"/>
        </w:rPr>
        <w:t xml:space="preserve"> je nach Gewicht und topographischer Anforderung</w:t>
      </w:r>
      <w:r w:rsidR="00846886" w:rsidRPr="00985FAF">
        <w:rPr>
          <w:rFonts w:cstheme="minorHAnsi"/>
        </w:rPr>
        <w:t xml:space="preserve">. Der </w:t>
      </w:r>
      <w:r w:rsidR="00846886" w:rsidRPr="00BB5A28">
        <w:rPr>
          <w:rFonts w:cstheme="minorHAnsi"/>
          <w:b/>
        </w:rPr>
        <w:t>QUANTRON QHM BEV</w:t>
      </w:r>
      <w:r w:rsidR="00846886" w:rsidRPr="00846886">
        <w:rPr>
          <w:rFonts w:cstheme="minorHAnsi"/>
        </w:rPr>
        <w:t xml:space="preserve"> ist bereits jetzt bestellbar</w:t>
      </w:r>
      <w:r w:rsidR="00731576">
        <w:rPr>
          <w:rFonts w:cstheme="minorHAnsi"/>
        </w:rPr>
        <w:t>.</w:t>
      </w:r>
    </w:p>
    <w:p w14:paraId="097C5A80" w14:textId="77777777" w:rsidR="00226653" w:rsidRDefault="00226653" w:rsidP="005364C6">
      <w:pPr>
        <w:spacing w:after="0" w:line="324" w:lineRule="auto"/>
        <w:rPr>
          <w:rFonts w:cstheme="minorHAnsi"/>
        </w:rPr>
      </w:pPr>
    </w:p>
    <w:p w14:paraId="2B1884A1" w14:textId="6BCCC286" w:rsidR="00362B2F" w:rsidRPr="00C24028" w:rsidRDefault="00362B2F" w:rsidP="00362B2F">
      <w:pPr>
        <w:spacing w:after="0" w:line="324" w:lineRule="auto"/>
        <w:rPr>
          <w:rFonts w:cstheme="minorHAnsi"/>
        </w:rPr>
      </w:pPr>
      <w:r w:rsidRPr="00C24028">
        <w:rPr>
          <w:rFonts w:cstheme="minorHAnsi"/>
        </w:rPr>
        <w:t xml:space="preserve">Für Aufbauhersteller bieten die Fahrzeuge der Quantron AG ein Höchstmaß an Standardisierung und Aufbaufreundlichkeit. Mit einem Basisfahrzeug, </w:t>
      </w:r>
      <w:r w:rsidR="00F17CE7">
        <w:rPr>
          <w:rFonts w:cstheme="minorHAnsi"/>
        </w:rPr>
        <w:t>das</w:t>
      </w:r>
      <w:r w:rsidRPr="00C24028">
        <w:rPr>
          <w:rFonts w:cstheme="minorHAnsi"/>
        </w:rPr>
        <w:t xml:space="preserve"> bei Aufbauherstellern in ganz Europa bekannt ist, lassen sich viele Aufbauten wie gewohnt unproblematisch installieren und nutzen.</w:t>
      </w:r>
    </w:p>
    <w:p w14:paraId="5F244C06" w14:textId="77777777" w:rsidR="00171334" w:rsidRDefault="00171334" w:rsidP="00362B2F">
      <w:pPr>
        <w:spacing w:after="0" w:line="324" w:lineRule="auto"/>
        <w:rPr>
          <w:rFonts w:cstheme="minorHAnsi"/>
        </w:rPr>
      </w:pPr>
    </w:p>
    <w:p w14:paraId="352549C4" w14:textId="327060AA" w:rsidR="00362B2F" w:rsidRDefault="00362B2F" w:rsidP="00187333">
      <w:pPr>
        <w:spacing w:after="0" w:line="324" w:lineRule="auto"/>
        <w:rPr>
          <w:rFonts w:cstheme="minorHAnsi"/>
        </w:rPr>
      </w:pPr>
      <w:r w:rsidRPr="00C24028">
        <w:rPr>
          <w:rFonts w:cstheme="minorHAnsi"/>
        </w:rPr>
        <w:t>Speziell bei den schweren</w:t>
      </w:r>
      <w:r w:rsidR="00F51000" w:rsidRPr="00C24028">
        <w:rPr>
          <w:rFonts w:cstheme="minorHAnsi"/>
        </w:rPr>
        <w:t xml:space="preserve"> </w:t>
      </w:r>
      <w:r w:rsidR="00F51000" w:rsidRPr="00F84118">
        <w:rPr>
          <w:rFonts w:cstheme="minorHAnsi"/>
          <w:b/>
        </w:rPr>
        <w:t>QUANTRON QHM</w:t>
      </w:r>
      <w:r w:rsidRPr="00F84118">
        <w:rPr>
          <w:rFonts w:cstheme="minorHAnsi"/>
          <w:b/>
        </w:rPr>
        <w:t xml:space="preserve"> BEV</w:t>
      </w:r>
      <w:r w:rsidRPr="00C24028">
        <w:rPr>
          <w:rFonts w:cstheme="minorHAnsi"/>
        </w:rPr>
        <w:t xml:space="preserve"> Fahrzeugen erfolgt die Elektrifizierung ohne Veränderung der Nebenabtriebs-Technologie im Bereich „Motorabhängiger Nebenabtrieb“ bzw. „Getriebeabhängiger Nebenabtrieb“. Selbst die Lage und Bauräume der Nebenabtriebe und Rahmenbefestigungen bleiben erhalten. Damit bietet Q</w:t>
      </w:r>
      <w:r w:rsidR="004F1CA2">
        <w:rPr>
          <w:rFonts w:cstheme="minorHAnsi"/>
        </w:rPr>
        <w:t>UANTRON</w:t>
      </w:r>
      <w:r w:rsidRPr="00C24028">
        <w:rPr>
          <w:rFonts w:cstheme="minorHAnsi"/>
        </w:rPr>
        <w:t xml:space="preserve"> den Aufbauhersteller eine</w:t>
      </w:r>
      <w:r w:rsidR="0041266F">
        <w:rPr>
          <w:rFonts w:cstheme="minorHAnsi"/>
        </w:rPr>
        <w:t xml:space="preserve"> optimale Schnittstelle und </w:t>
      </w:r>
      <w:r w:rsidRPr="00C24028">
        <w:rPr>
          <w:rFonts w:cstheme="minorHAnsi"/>
        </w:rPr>
        <w:t xml:space="preserve">Lösung </w:t>
      </w:r>
      <w:r w:rsidR="000C582C">
        <w:rPr>
          <w:rFonts w:cstheme="minorHAnsi"/>
        </w:rPr>
        <w:t xml:space="preserve">an, </w:t>
      </w:r>
      <w:r w:rsidRPr="00C24028">
        <w:rPr>
          <w:rFonts w:cstheme="minorHAnsi"/>
        </w:rPr>
        <w:t xml:space="preserve">die einmalig ist in diesem Segment. Auf </w:t>
      </w:r>
      <w:r w:rsidR="0053392A">
        <w:rPr>
          <w:rFonts w:cstheme="minorHAnsi"/>
        </w:rPr>
        <w:t xml:space="preserve">dem QUANTRON IAA Transportation </w:t>
      </w:r>
      <w:r w:rsidRPr="00C24028">
        <w:rPr>
          <w:rFonts w:cstheme="minorHAnsi"/>
        </w:rPr>
        <w:t xml:space="preserve">Messestand kann die Aufbaufreundlichkeit live an </w:t>
      </w:r>
      <w:r w:rsidR="009A516E">
        <w:rPr>
          <w:rFonts w:cstheme="minorHAnsi"/>
        </w:rPr>
        <w:t xml:space="preserve">den </w:t>
      </w:r>
      <w:r w:rsidRPr="00C24028">
        <w:rPr>
          <w:rFonts w:cstheme="minorHAnsi"/>
        </w:rPr>
        <w:t>ausgestellten Exponaten begutachtet werden.</w:t>
      </w:r>
    </w:p>
    <w:p w14:paraId="6140411F" w14:textId="77777777" w:rsidR="00F84118" w:rsidRPr="00187333" w:rsidRDefault="00F84118" w:rsidP="00187333">
      <w:pPr>
        <w:spacing w:after="0" w:line="324" w:lineRule="auto"/>
        <w:rPr>
          <w:rFonts w:cstheme="minorHAnsi"/>
        </w:rPr>
      </w:pPr>
    </w:p>
    <w:p w14:paraId="51074E1B" w14:textId="4574A9A2" w:rsidR="002F6B8D" w:rsidRPr="00551572" w:rsidRDefault="00251C2E" w:rsidP="00551572">
      <w:pPr>
        <w:rPr>
          <w:rFonts w:cstheme="minorHAnsi"/>
          <w:b/>
          <w:bCs/>
        </w:rPr>
      </w:pPr>
      <w:r w:rsidRPr="00194623">
        <w:rPr>
          <w:rFonts w:cstheme="minorHAnsi"/>
          <w:b/>
          <w:bCs/>
        </w:rPr>
        <w:t xml:space="preserve">Weitere zero-emission Highlights: </w:t>
      </w:r>
      <w:r w:rsidR="00CB3E11">
        <w:rPr>
          <w:rFonts w:cstheme="minorHAnsi"/>
          <w:b/>
          <w:bCs/>
        </w:rPr>
        <w:t>QUANT</w:t>
      </w:r>
      <w:r w:rsidR="00C12F6F">
        <w:rPr>
          <w:rFonts w:cstheme="minorHAnsi"/>
          <w:b/>
          <w:bCs/>
        </w:rPr>
        <w:t>RON</w:t>
      </w:r>
      <w:r w:rsidRPr="00194623">
        <w:rPr>
          <w:rFonts w:cstheme="minorHAnsi"/>
          <w:b/>
          <w:bCs/>
        </w:rPr>
        <w:t xml:space="preserve"> QLI FCEV</w:t>
      </w:r>
      <w:r w:rsidR="00551572">
        <w:rPr>
          <w:rFonts w:cstheme="minorHAnsi"/>
          <w:b/>
          <w:bCs/>
        </w:rPr>
        <w:t xml:space="preserve"> und </w:t>
      </w:r>
      <w:r w:rsidR="00551572" w:rsidRPr="00194623">
        <w:rPr>
          <w:rFonts w:cstheme="minorHAnsi"/>
          <w:b/>
          <w:bCs/>
        </w:rPr>
        <w:t xml:space="preserve">QUANTRON CIZARIS 12 EV </w:t>
      </w:r>
    </w:p>
    <w:p w14:paraId="341C04AC" w14:textId="62B5661C" w:rsidR="002C1DC5" w:rsidRDefault="00BD7713" w:rsidP="00BD7713">
      <w:pPr>
        <w:spacing w:after="0" w:line="324" w:lineRule="auto"/>
        <w:rPr>
          <w:rFonts w:cstheme="minorHAnsi"/>
        </w:rPr>
      </w:pPr>
      <w:r w:rsidRPr="00885A43">
        <w:rPr>
          <w:rFonts w:cstheme="minorHAnsi"/>
        </w:rPr>
        <w:t xml:space="preserve">Mit dem </w:t>
      </w:r>
      <w:r w:rsidR="00B630ED" w:rsidRPr="007C72AC">
        <w:rPr>
          <w:rFonts w:cstheme="minorHAnsi"/>
          <w:b/>
        </w:rPr>
        <w:t>QUANTRON</w:t>
      </w:r>
      <w:r w:rsidRPr="007C72AC">
        <w:rPr>
          <w:rFonts w:cstheme="minorHAnsi"/>
          <w:b/>
        </w:rPr>
        <w:t xml:space="preserve"> QLI FCEV</w:t>
      </w:r>
      <w:r w:rsidRPr="00885A43">
        <w:rPr>
          <w:rFonts w:cstheme="minorHAnsi"/>
        </w:rPr>
        <w:t xml:space="preserve">, </w:t>
      </w:r>
      <w:r w:rsidR="00FE2932" w:rsidRPr="00885A43">
        <w:rPr>
          <w:rFonts w:cstheme="minorHAnsi"/>
        </w:rPr>
        <w:t>präsentiert</w:t>
      </w:r>
      <w:r w:rsidR="004A73D7" w:rsidRPr="00885A43">
        <w:rPr>
          <w:rFonts w:cstheme="minorHAnsi"/>
        </w:rPr>
        <w:t xml:space="preserve"> QUANTRON zudem</w:t>
      </w:r>
      <w:r w:rsidRPr="00885A43">
        <w:rPr>
          <w:rFonts w:cstheme="minorHAnsi"/>
        </w:rPr>
        <w:t xml:space="preserve"> </w:t>
      </w:r>
      <w:r w:rsidR="00885A43" w:rsidRPr="00885A43">
        <w:rPr>
          <w:rFonts w:cstheme="minorHAnsi"/>
        </w:rPr>
        <w:t>einen Light-Truck mit</w:t>
      </w:r>
      <w:r w:rsidRPr="00885A43">
        <w:rPr>
          <w:rFonts w:cstheme="minorHAnsi"/>
        </w:rPr>
        <w:t xml:space="preserve"> </w:t>
      </w:r>
      <w:r w:rsidR="00014B64">
        <w:rPr>
          <w:rFonts w:cstheme="minorHAnsi"/>
        </w:rPr>
        <w:t xml:space="preserve">Ballard Power </w:t>
      </w:r>
      <w:r w:rsidRPr="00885A43">
        <w:rPr>
          <w:rFonts w:cstheme="minorHAnsi"/>
        </w:rPr>
        <w:t>Wasserstoff-Brennstoffzellenantrieb</w:t>
      </w:r>
      <w:r w:rsidR="00981442">
        <w:rPr>
          <w:rFonts w:cstheme="minorHAnsi"/>
        </w:rPr>
        <w:t xml:space="preserve"> </w:t>
      </w:r>
      <w:r w:rsidR="00CF2A70">
        <w:rPr>
          <w:rFonts w:cstheme="minorHAnsi"/>
        </w:rPr>
        <w:t xml:space="preserve">mit Reichweiten von bis </w:t>
      </w:r>
      <w:r w:rsidR="005B183C" w:rsidRPr="00177E11">
        <w:rPr>
          <w:rFonts w:cstheme="minorHAnsi"/>
        </w:rPr>
        <w:t xml:space="preserve">zu </w:t>
      </w:r>
      <w:r w:rsidR="00177E11" w:rsidRPr="00177E11">
        <w:rPr>
          <w:rFonts w:cstheme="minorHAnsi"/>
        </w:rPr>
        <w:t>500</w:t>
      </w:r>
      <w:r w:rsidR="005B183C" w:rsidRPr="00177E11">
        <w:rPr>
          <w:rFonts w:cstheme="minorHAnsi"/>
        </w:rPr>
        <w:t xml:space="preserve"> km</w:t>
      </w:r>
      <w:r w:rsidR="00FE2932" w:rsidRPr="00885A43">
        <w:rPr>
          <w:rFonts w:cstheme="minorHAnsi"/>
        </w:rPr>
        <w:t>.</w:t>
      </w:r>
      <w:r w:rsidR="00981442">
        <w:rPr>
          <w:rFonts w:cstheme="minorHAnsi"/>
        </w:rPr>
        <w:t xml:space="preserve"> Dieser ist ab sofort in den Klassen von </w:t>
      </w:r>
      <w:r w:rsidR="002F70B8">
        <w:rPr>
          <w:rFonts w:cstheme="minorHAnsi"/>
        </w:rPr>
        <w:t>3,5</w:t>
      </w:r>
      <w:r w:rsidR="00981442">
        <w:rPr>
          <w:rFonts w:cstheme="minorHAnsi"/>
        </w:rPr>
        <w:t xml:space="preserve"> bis </w:t>
      </w:r>
      <w:r w:rsidR="002F70B8">
        <w:rPr>
          <w:rFonts w:cstheme="minorHAnsi"/>
        </w:rPr>
        <w:t>4</w:t>
      </w:r>
      <w:r w:rsidR="00981442">
        <w:rPr>
          <w:rFonts w:cstheme="minorHAnsi"/>
        </w:rPr>
        <w:t>,2 Tonnen bestellbar.</w:t>
      </w:r>
      <w:r w:rsidR="00FE2932" w:rsidRPr="00885A43">
        <w:rPr>
          <w:rFonts w:cstheme="minorHAnsi"/>
        </w:rPr>
        <w:t xml:space="preserve"> </w:t>
      </w:r>
      <w:r w:rsidR="002C5A1D" w:rsidRPr="00885A43">
        <w:rPr>
          <w:rFonts w:cstheme="minorHAnsi"/>
        </w:rPr>
        <w:t>Der leise und emissionsfreie Transporter ist durch seine unterschiedlichen Aufbauvarianten flexibel und vielfältig einsetzba</w:t>
      </w:r>
      <w:r w:rsidR="002C5A1D">
        <w:rPr>
          <w:rFonts w:cstheme="minorHAnsi"/>
        </w:rPr>
        <w:t>r, insbesondere für Anwendungsfälle mit hoher Distanz, aber auch auf der letzten Meile.</w:t>
      </w:r>
    </w:p>
    <w:p w14:paraId="0E5EADDD" w14:textId="77777777" w:rsidR="0027656E" w:rsidRDefault="0027656E" w:rsidP="00BD7713">
      <w:pPr>
        <w:spacing w:after="0" w:line="324" w:lineRule="auto"/>
        <w:rPr>
          <w:rFonts w:cstheme="minorHAnsi"/>
        </w:rPr>
      </w:pPr>
    </w:p>
    <w:p w14:paraId="09FD7FD7" w14:textId="64F4F3AF" w:rsidR="0027656E" w:rsidRDefault="00D11558" w:rsidP="00BD7713">
      <w:pPr>
        <w:spacing w:after="0" w:line="324" w:lineRule="auto"/>
        <w:rPr>
          <w:rFonts w:cstheme="minorHAnsi"/>
        </w:rPr>
      </w:pPr>
      <w:r>
        <w:rPr>
          <w:rFonts w:cstheme="minorHAnsi"/>
        </w:rPr>
        <w:lastRenderedPageBreak/>
        <w:t>Auf</w:t>
      </w:r>
      <w:r w:rsidR="002C1DC5" w:rsidRPr="005A56D7">
        <w:rPr>
          <w:rFonts w:cstheme="minorHAnsi"/>
        </w:rPr>
        <w:t xml:space="preserve"> dem </w:t>
      </w:r>
      <w:r w:rsidR="00187333">
        <w:rPr>
          <w:rFonts w:cstheme="minorHAnsi"/>
        </w:rPr>
        <w:t>Partner</w:t>
      </w:r>
      <w:r w:rsidR="00600132">
        <w:rPr>
          <w:rFonts w:cstheme="minorHAnsi"/>
        </w:rPr>
        <w:t>s</w:t>
      </w:r>
      <w:r w:rsidR="002C1DC5" w:rsidRPr="005A56D7">
        <w:rPr>
          <w:rFonts w:cstheme="minorHAnsi"/>
        </w:rPr>
        <w:t xml:space="preserve">tand von VanSelect </w:t>
      </w:r>
      <w:r>
        <w:rPr>
          <w:rFonts w:cstheme="minorHAnsi"/>
        </w:rPr>
        <w:t xml:space="preserve">steht </w:t>
      </w:r>
      <w:r w:rsidR="009F0C94">
        <w:rPr>
          <w:rFonts w:cstheme="minorHAnsi"/>
        </w:rPr>
        <w:t xml:space="preserve">der </w:t>
      </w:r>
      <w:r w:rsidR="00BF0166">
        <w:rPr>
          <w:rFonts w:cstheme="minorHAnsi"/>
        </w:rPr>
        <w:t xml:space="preserve">vollelektrische </w:t>
      </w:r>
      <w:r w:rsidR="00F925E1" w:rsidRPr="00CA0946">
        <w:rPr>
          <w:rFonts w:cstheme="minorHAnsi"/>
          <w:b/>
        </w:rPr>
        <w:t xml:space="preserve">QUANTRON QLI </w:t>
      </w:r>
      <w:r w:rsidR="00F925E1">
        <w:rPr>
          <w:rFonts w:cstheme="minorHAnsi"/>
          <w:b/>
        </w:rPr>
        <w:t xml:space="preserve">BEV </w:t>
      </w:r>
      <w:r w:rsidR="00F925E1" w:rsidRPr="008D1DF1">
        <w:rPr>
          <w:rFonts w:cstheme="minorHAnsi"/>
          <w:bCs/>
        </w:rPr>
        <w:t>Transporter</w:t>
      </w:r>
      <w:r w:rsidR="00F925E1" w:rsidRPr="005A56D7">
        <w:rPr>
          <w:rFonts w:cstheme="minorHAnsi"/>
          <w:bCs/>
        </w:rPr>
        <w:t xml:space="preserve"> </w:t>
      </w:r>
      <w:r w:rsidR="00F925E1">
        <w:rPr>
          <w:rFonts w:cstheme="minorHAnsi"/>
          <w:bCs/>
        </w:rPr>
        <w:t xml:space="preserve">von 3,5 bis </w:t>
      </w:r>
      <w:r w:rsidR="002F70B8">
        <w:rPr>
          <w:rFonts w:cstheme="minorHAnsi"/>
          <w:bCs/>
        </w:rPr>
        <w:t>7</w:t>
      </w:r>
      <w:r w:rsidR="00F925E1">
        <w:rPr>
          <w:rFonts w:cstheme="minorHAnsi"/>
          <w:bCs/>
        </w:rPr>
        <w:t>,2 Tonnen</w:t>
      </w:r>
      <w:r w:rsidR="00AE7F7F">
        <w:rPr>
          <w:rFonts w:cstheme="minorHAnsi"/>
          <w:bCs/>
        </w:rPr>
        <w:t xml:space="preserve"> als optimale</w:t>
      </w:r>
      <w:r w:rsidR="0075033D">
        <w:rPr>
          <w:rFonts w:cstheme="minorHAnsi"/>
          <w:bCs/>
        </w:rPr>
        <w:t xml:space="preserve"> zero-emission</w:t>
      </w:r>
      <w:r w:rsidR="00AE7F7F">
        <w:rPr>
          <w:rFonts w:cstheme="minorHAnsi"/>
          <w:bCs/>
        </w:rPr>
        <w:t xml:space="preserve"> Lösung fü</w:t>
      </w:r>
      <w:r w:rsidR="00AE7F7F">
        <w:rPr>
          <w:rFonts w:cstheme="minorHAnsi"/>
        </w:rPr>
        <w:t xml:space="preserve">r </w:t>
      </w:r>
      <w:r w:rsidR="0075033D">
        <w:rPr>
          <w:rFonts w:cstheme="minorHAnsi"/>
        </w:rPr>
        <w:t xml:space="preserve">innerstädtische </w:t>
      </w:r>
      <w:r w:rsidR="00AE7F7F">
        <w:rPr>
          <w:rFonts w:cstheme="minorHAnsi"/>
        </w:rPr>
        <w:t xml:space="preserve">Aufgaben in Städten und Kommunen. Dieser zeichnet </w:t>
      </w:r>
      <w:r w:rsidR="003D6866">
        <w:rPr>
          <w:rFonts w:cstheme="minorHAnsi"/>
        </w:rPr>
        <w:t xml:space="preserve">sich </w:t>
      </w:r>
      <w:r w:rsidR="00036817">
        <w:rPr>
          <w:rFonts w:cstheme="minorHAnsi"/>
        </w:rPr>
        <w:t>als 3,5 Tonnen Leichtbauvariante</w:t>
      </w:r>
      <w:r w:rsidR="00B968A5">
        <w:rPr>
          <w:rFonts w:cstheme="minorHAnsi"/>
        </w:rPr>
        <w:t xml:space="preserve"> </w:t>
      </w:r>
      <w:r w:rsidR="00AE7F7F">
        <w:rPr>
          <w:rFonts w:cstheme="minorHAnsi"/>
        </w:rPr>
        <w:t>durch sein</w:t>
      </w:r>
      <w:r w:rsidR="00036817">
        <w:rPr>
          <w:rFonts w:cstheme="minorHAnsi"/>
        </w:rPr>
        <w:t xml:space="preserve">e Effizienz und </w:t>
      </w:r>
      <w:r w:rsidR="007A77CC">
        <w:rPr>
          <w:rFonts w:cstheme="minorHAnsi"/>
        </w:rPr>
        <w:t xml:space="preserve">Alltagstauglichkeit </w:t>
      </w:r>
      <w:r w:rsidR="00ED2711">
        <w:rPr>
          <w:rFonts w:cstheme="minorHAnsi"/>
        </w:rPr>
        <w:t xml:space="preserve">mit einer Nutzlast von </w:t>
      </w:r>
      <w:r w:rsidR="00F47E37">
        <w:rPr>
          <w:rFonts w:cstheme="minorHAnsi"/>
        </w:rPr>
        <w:t xml:space="preserve">bis zu </w:t>
      </w:r>
      <w:r w:rsidR="00ED2711">
        <w:rPr>
          <w:rFonts w:cstheme="minorHAnsi"/>
        </w:rPr>
        <w:t xml:space="preserve">1.000 kg </w:t>
      </w:r>
      <w:r w:rsidR="00F47E37">
        <w:rPr>
          <w:rFonts w:cstheme="minorHAnsi"/>
        </w:rPr>
        <w:t xml:space="preserve">(je nach Aufbau) </w:t>
      </w:r>
      <w:r w:rsidR="007A77CC">
        <w:rPr>
          <w:rFonts w:cstheme="minorHAnsi"/>
        </w:rPr>
        <w:t>aus</w:t>
      </w:r>
      <w:r w:rsidR="0086020C">
        <w:rPr>
          <w:rFonts w:cstheme="minorHAnsi"/>
        </w:rPr>
        <w:t xml:space="preserve">. Als Fahrzeug der </w:t>
      </w:r>
      <w:r w:rsidR="004E6AD5">
        <w:rPr>
          <w:rFonts w:cstheme="minorHAnsi"/>
        </w:rPr>
        <w:t>Klasse N1</w:t>
      </w:r>
      <w:r w:rsidR="008E71FE">
        <w:rPr>
          <w:rFonts w:cstheme="minorHAnsi"/>
        </w:rPr>
        <w:t xml:space="preserve"> kann </w:t>
      </w:r>
      <w:r w:rsidR="004E6AD5">
        <w:rPr>
          <w:rFonts w:cstheme="minorHAnsi"/>
        </w:rPr>
        <w:t xml:space="preserve">er </w:t>
      </w:r>
      <w:r w:rsidR="008E71FE">
        <w:rPr>
          <w:rFonts w:cstheme="minorHAnsi"/>
        </w:rPr>
        <w:t>bereits mit einem Führerschein der Klasse B gefahren werden</w:t>
      </w:r>
      <w:r w:rsidR="004E6AD5">
        <w:rPr>
          <w:rFonts w:cstheme="minorHAnsi"/>
        </w:rPr>
        <w:t xml:space="preserve"> und benötigt keine zusätzlichen Zertifikate.</w:t>
      </w:r>
    </w:p>
    <w:p w14:paraId="5F49291D" w14:textId="6140B21A" w:rsidR="004E6AD5" w:rsidRDefault="004E6AD5" w:rsidP="00BD7713">
      <w:pPr>
        <w:spacing w:after="0" w:line="324" w:lineRule="auto"/>
        <w:rPr>
          <w:rFonts w:cstheme="minorHAnsi"/>
        </w:rPr>
      </w:pPr>
      <w:r>
        <w:rPr>
          <w:rFonts w:cstheme="minorHAnsi"/>
        </w:rPr>
        <w:t xml:space="preserve"> </w:t>
      </w:r>
    </w:p>
    <w:p w14:paraId="5A58B7BA" w14:textId="77777777" w:rsidR="00551572" w:rsidRDefault="00551572" w:rsidP="00551572">
      <w:pPr>
        <w:spacing w:after="0" w:line="324" w:lineRule="auto"/>
        <w:rPr>
          <w:rFonts w:cstheme="minorHAnsi"/>
        </w:rPr>
      </w:pPr>
      <w:r w:rsidRPr="00885A43">
        <w:rPr>
          <w:rFonts w:cstheme="minorHAnsi"/>
        </w:rPr>
        <w:t xml:space="preserve">Ebenfalls </w:t>
      </w:r>
      <w:r>
        <w:rPr>
          <w:rFonts w:cstheme="minorHAnsi"/>
        </w:rPr>
        <w:t xml:space="preserve">präsentiert </w:t>
      </w:r>
      <w:r w:rsidRPr="00885A43">
        <w:rPr>
          <w:rFonts w:cstheme="minorHAnsi"/>
        </w:rPr>
        <w:t xml:space="preserve">wird </w:t>
      </w:r>
      <w:r>
        <w:rPr>
          <w:rFonts w:cstheme="minorHAnsi"/>
        </w:rPr>
        <w:t xml:space="preserve">der </w:t>
      </w:r>
      <w:r w:rsidRPr="007C72AC">
        <w:rPr>
          <w:rFonts w:cstheme="minorHAnsi"/>
          <w:b/>
        </w:rPr>
        <w:t>QUANTRON CIZARIS 12 EV</w:t>
      </w:r>
      <w:r w:rsidRPr="00885A43">
        <w:rPr>
          <w:rFonts w:cstheme="minorHAnsi"/>
        </w:rPr>
        <w:t xml:space="preserve">. Der vollelektrische Bus bietet mit seiner erprobten Batterie- und Traktionstechnik eine verlässliche, geräuscharme und umweltfreundliche Mobilitätslösung mit einer Reichweite von bis zu 370 km (nach SORT 2). </w:t>
      </w:r>
    </w:p>
    <w:p w14:paraId="400BE584" w14:textId="7994920C" w:rsidR="005364C6" w:rsidRPr="0042656A" w:rsidRDefault="005364C6" w:rsidP="005364C6">
      <w:pPr>
        <w:spacing w:after="0" w:line="324" w:lineRule="auto"/>
        <w:rPr>
          <w:rFonts w:cstheme="minorHAnsi"/>
        </w:rPr>
      </w:pPr>
    </w:p>
    <w:p w14:paraId="0C8DB2A4" w14:textId="7E08B4D4" w:rsidR="003736AC" w:rsidRPr="00753474" w:rsidRDefault="00D414C4" w:rsidP="00DC0A98">
      <w:pPr>
        <w:spacing w:after="0" w:line="240" w:lineRule="auto"/>
        <w:ind w:right="597"/>
        <w:rPr>
          <w:rFonts w:cstheme="minorHAnsi"/>
          <w:b/>
          <w:bCs/>
          <w:sz w:val="24"/>
          <w:szCs w:val="24"/>
        </w:rPr>
      </w:pPr>
      <w:r w:rsidRPr="00796B50">
        <w:rPr>
          <w:rFonts w:cstheme="minorHAnsi"/>
          <w:b/>
          <w:bCs/>
          <w:sz w:val="24"/>
          <w:szCs w:val="24"/>
        </w:rPr>
        <w:t xml:space="preserve">Technische Daten </w:t>
      </w:r>
    </w:p>
    <w:tbl>
      <w:tblPr>
        <w:tblpPr w:leftFromText="141" w:rightFromText="141" w:bottomFromText="200" w:vertAnchor="text" w:horzAnchor="margin" w:tblpY="113"/>
        <w:tblW w:w="13173" w:type="dxa"/>
        <w:tblLayout w:type="fixed"/>
        <w:tblLook w:val="04A0" w:firstRow="1" w:lastRow="0" w:firstColumn="1" w:lastColumn="0" w:noHBand="0" w:noVBand="1"/>
      </w:tblPr>
      <w:tblGrid>
        <w:gridCol w:w="3114"/>
        <w:gridCol w:w="1706"/>
        <w:gridCol w:w="1559"/>
        <w:gridCol w:w="1559"/>
        <w:gridCol w:w="5235"/>
      </w:tblGrid>
      <w:tr w:rsidR="00147921" w:rsidRPr="00CB0132" w14:paraId="60A25E16" w14:textId="2C775DAD" w:rsidTr="00147921">
        <w:trPr>
          <w:trHeight w:val="218"/>
        </w:trPr>
        <w:tc>
          <w:tcPr>
            <w:tcW w:w="3114" w:type="dxa"/>
          </w:tcPr>
          <w:p w14:paraId="3F2ECEA4" w14:textId="26216C14" w:rsidR="00147921" w:rsidRPr="003736AC" w:rsidRDefault="00147921" w:rsidP="00267D1C">
            <w:pPr>
              <w:autoSpaceDE w:val="0"/>
              <w:autoSpaceDN w:val="0"/>
              <w:adjustRightInd w:val="0"/>
              <w:spacing w:after="0" w:line="240" w:lineRule="auto"/>
              <w:rPr>
                <w:rFonts w:cstheme="minorHAnsi"/>
                <w:b/>
                <w:bCs/>
              </w:rPr>
            </w:pPr>
          </w:p>
        </w:tc>
        <w:tc>
          <w:tcPr>
            <w:tcW w:w="1706" w:type="dxa"/>
            <w:vAlign w:val="center"/>
          </w:tcPr>
          <w:p w14:paraId="2E88838F" w14:textId="77777777" w:rsidR="00147921" w:rsidRDefault="00147921" w:rsidP="00267D1C">
            <w:pPr>
              <w:autoSpaceDE w:val="0"/>
              <w:autoSpaceDN w:val="0"/>
              <w:adjustRightInd w:val="0"/>
              <w:spacing w:after="0" w:line="240" w:lineRule="auto"/>
              <w:rPr>
                <w:rFonts w:cstheme="minorHAnsi"/>
                <w:b/>
                <w:bCs/>
                <w:color w:val="0047BB"/>
              </w:rPr>
            </w:pPr>
            <w:r w:rsidRPr="003736AC">
              <w:rPr>
                <w:rFonts w:cstheme="minorHAnsi"/>
                <w:b/>
                <w:bCs/>
                <w:color w:val="0047BB"/>
              </w:rPr>
              <w:t xml:space="preserve">QUANTRON QHM FCEV </w:t>
            </w:r>
          </w:p>
          <w:p w14:paraId="01BA3C27" w14:textId="012CCB86" w:rsidR="00147921" w:rsidRPr="00177E11" w:rsidRDefault="00147921" w:rsidP="00267D1C">
            <w:pPr>
              <w:autoSpaceDE w:val="0"/>
              <w:autoSpaceDN w:val="0"/>
              <w:adjustRightInd w:val="0"/>
              <w:spacing w:after="0" w:line="240" w:lineRule="auto"/>
              <w:rPr>
                <w:rFonts w:cstheme="minorHAnsi"/>
              </w:rPr>
            </w:pPr>
            <w:r w:rsidRPr="003736AC">
              <w:rPr>
                <w:rFonts w:cstheme="minorHAnsi"/>
                <w:b/>
                <w:bCs/>
                <w:color w:val="0047BB"/>
              </w:rPr>
              <w:t>44-1000*</w:t>
            </w:r>
          </w:p>
        </w:tc>
        <w:tc>
          <w:tcPr>
            <w:tcW w:w="1559" w:type="dxa"/>
          </w:tcPr>
          <w:p w14:paraId="1C736408" w14:textId="77777777" w:rsidR="00147921" w:rsidRDefault="00147921" w:rsidP="00267D1C">
            <w:pPr>
              <w:autoSpaceDE w:val="0"/>
              <w:autoSpaceDN w:val="0"/>
              <w:adjustRightInd w:val="0"/>
              <w:spacing w:after="0" w:line="240" w:lineRule="auto"/>
              <w:rPr>
                <w:rFonts w:cstheme="minorHAnsi"/>
                <w:b/>
                <w:color w:val="0047BB"/>
              </w:rPr>
            </w:pPr>
            <w:r w:rsidRPr="003736AC">
              <w:rPr>
                <w:rFonts w:cstheme="minorHAnsi"/>
                <w:b/>
                <w:color w:val="0047BB"/>
              </w:rPr>
              <w:t xml:space="preserve">QUANTRON QHM FCEV </w:t>
            </w:r>
          </w:p>
          <w:p w14:paraId="0B1DD889" w14:textId="462BE169" w:rsidR="00147921" w:rsidRPr="00177E11" w:rsidRDefault="00147921" w:rsidP="00267D1C">
            <w:pPr>
              <w:autoSpaceDE w:val="0"/>
              <w:autoSpaceDN w:val="0"/>
              <w:adjustRightInd w:val="0"/>
              <w:spacing w:after="0" w:line="240" w:lineRule="auto"/>
              <w:rPr>
                <w:rFonts w:cstheme="minorHAnsi"/>
              </w:rPr>
            </w:pPr>
            <w:r w:rsidRPr="003736AC">
              <w:rPr>
                <w:rFonts w:cstheme="minorHAnsi"/>
                <w:b/>
                <w:color w:val="0047BB"/>
              </w:rPr>
              <w:t>27-1000</w:t>
            </w:r>
            <w:r>
              <w:rPr>
                <w:rFonts w:cstheme="minorHAnsi"/>
                <w:b/>
                <w:color w:val="0047BB"/>
              </w:rPr>
              <w:t>*</w:t>
            </w:r>
          </w:p>
        </w:tc>
        <w:tc>
          <w:tcPr>
            <w:tcW w:w="1559" w:type="dxa"/>
          </w:tcPr>
          <w:p w14:paraId="46E7A48C" w14:textId="77777777" w:rsidR="00147921" w:rsidRDefault="00147921" w:rsidP="00267D1C">
            <w:pPr>
              <w:autoSpaceDE w:val="0"/>
              <w:autoSpaceDN w:val="0"/>
              <w:adjustRightInd w:val="0"/>
              <w:spacing w:after="0" w:line="240" w:lineRule="auto"/>
              <w:rPr>
                <w:rFonts w:cstheme="minorHAnsi"/>
                <w:b/>
                <w:color w:val="0047BB"/>
                <w:lang w:val="en-US"/>
              </w:rPr>
            </w:pPr>
            <w:r w:rsidRPr="003736AC">
              <w:rPr>
                <w:rFonts w:cstheme="minorHAnsi"/>
                <w:b/>
                <w:color w:val="0047BB"/>
                <w:lang w:val="en-US"/>
              </w:rPr>
              <w:t xml:space="preserve">QUANTRON </w:t>
            </w:r>
          </w:p>
          <w:p w14:paraId="05903E38" w14:textId="77777777" w:rsidR="00147921" w:rsidRDefault="00147921" w:rsidP="00267D1C">
            <w:pPr>
              <w:autoSpaceDE w:val="0"/>
              <w:autoSpaceDN w:val="0"/>
              <w:adjustRightInd w:val="0"/>
              <w:spacing w:after="0" w:line="240" w:lineRule="auto"/>
              <w:rPr>
                <w:rFonts w:cstheme="minorHAnsi"/>
                <w:b/>
                <w:color w:val="0047BB"/>
                <w:lang w:val="en-US"/>
              </w:rPr>
            </w:pPr>
            <w:r w:rsidRPr="003736AC">
              <w:rPr>
                <w:rFonts w:cstheme="minorHAnsi"/>
                <w:b/>
                <w:color w:val="0047BB"/>
                <w:lang w:val="en-US"/>
              </w:rPr>
              <w:t xml:space="preserve">QHM FCEV </w:t>
            </w:r>
          </w:p>
          <w:p w14:paraId="2669C634" w14:textId="20DFB503" w:rsidR="00147921" w:rsidRPr="000C0D38" w:rsidRDefault="00147921" w:rsidP="00267D1C">
            <w:pPr>
              <w:autoSpaceDE w:val="0"/>
              <w:autoSpaceDN w:val="0"/>
              <w:adjustRightInd w:val="0"/>
              <w:spacing w:after="0" w:line="240" w:lineRule="auto"/>
              <w:rPr>
                <w:rFonts w:cstheme="minorHAnsi"/>
                <w:b/>
                <w:color w:val="0047BB"/>
                <w:lang w:val="en-US"/>
              </w:rPr>
            </w:pPr>
            <w:r w:rsidRPr="003736AC">
              <w:rPr>
                <w:rFonts w:cstheme="minorHAnsi"/>
                <w:b/>
                <w:bCs/>
                <w:color w:val="0047BB"/>
                <w:lang w:val="en-US"/>
              </w:rPr>
              <w:t>60-2000</w:t>
            </w:r>
            <w:r>
              <w:rPr>
                <w:rFonts w:cstheme="minorHAnsi"/>
                <w:b/>
                <w:bCs/>
                <w:color w:val="0047BB"/>
                <w:lang w:val="en-US"/>
              </w:rPr>
              <w:t>*</w:t>
            </w:r>
            <w:r w:rsidRPr="003736AC">
              <w:rPr>
                <w:rFonts w:cstheme="minorHAnsi"/>
                <w:b/>
                <w:bCs/>
                <w:color w:val="0047BB"/>
                <w:lang w:val="en-US"/>
              </w:rPr>
              <w:t xml:space="preserve"> </w:t>
            </w:r>
          </w:p>
        </w:tc>
        <w:tc>
          <w:tcPr>
            <w:tcW w:w="5235" w:type="dxa"/>
          </w:tcPr>
          <w:p w14:paraId="4A3745CC" w14:textId="7FE848B2" w:rsidR="00147921" w:rsidRDefault="00147921" w:rsidP="00267D1C">
            <w:pPr>
              <w:autoSpaceDE w:val="0"/>
              <w:autoSpaceDN w:val="0"/>
              <w:adjustRightInd w:val="0"/>
              <w:spacing w:after="0" w:line="240" w:lineRule="auto"/>
              <w:rPr>
                <w:rFonts w:cstheme="minorHAnsi"/>
                <w:b/>
                <w:bCs/>
                <w:color w:val="0047BB"/>
                <w:lang w:val="en-US"/>
              </w:rPr>
            </w:pPr>
            <w:r w:rsidRPr="003736AC">
              <w:rPr>
                <w:rFonts w:cstheme="minorHAnsi"/>
                <w:b/>
                <w:bCs/>
                <w:color w:val="0047BB"/>
                <w:lang w:val="en-US"/>
              </w:rPr>
              <w:t xml:space="preserve">QUANTRON </w:t>
            </w:r>
          </w:p>
          <w:p w14:paraId="7954D1C6" w14:textId="77777777" w:rsidR="00147921" w:rsidRDefault="00147921" w:rsidP="00267D1C">
            <w:pPr>
              <w:autoSpaceDE w:val="0"/>
              <w:autoSpaceDN w:val="0"/>
              <w:adjustRightInd w:val="0"/>
              <w:spacing w:after="0" w:line="240" w:lineRule="auto"/>
              <w:rPr>
                <w:rFonts w:cstheme="minorHAnsi"/>
                <w:b/>
                <w:bCs/>
                <w:color w:val="0047BB"/>
                <w:lang w:val="en-US"/>
              </w:rPr>
            </w:pPr>
            <w:r w:rsidRPr="003736AC">
              <w:rPr>
                <w:rFonts w:cstheme="minorHAnsi"/>
                <w:b/>
                <w:bCs/>
                <w:color w:val="0047BB"/>
                <w:lang w:val="en-US"/>
              </w:rPr>
              <w:t>QHM FCEV 4</w:t>
            </w:r>
          </w:p>
          <w:p w14:paraId="7A518EC9" w14:textId="46009EFA" w:rsidR="00147921" w:rsidRPr="003736AC" w:rsidRDefault="00147921" w:rsidP="00267D1C">
            <w:pPr>
              <w:autoSpaceDE w:val="0"/>
              <w:autoSpaceDN w:val="0"/>
              <w:adjustRightInd w:val="0"/>
              <w:spacing w:after="0" w:line="240" w:lineRule="auto"/>
              <w:rPr>
                <w:rFonts w:cstheme="minorHAnsi"/>
                <w:b/>
                <w:color w:val="0047BB"/>
                <w:lang w:val="en-US"/>
              </w:rPr>
            </w:pPr>
            <w:r w:rsidRPr="003736AC">
              <w:rPr>
                <w:rFonts w:cstheme="minorHAnsi"/>
                <w:b/>
                <w:bCs/>
                <w:color w:val="0047BB"/>
                <w:lang w:val="en-US"/>
              </w:rPr>
              <w:t>4-2000*</w:t>
            </w:r>
          </w:p>
        </w:tc>
      </w:tr>
      <w:tr w:rsidR="00147921" w14:paraId="25E6438F" w14:textId="78888758">
        <w:trPr>
          <w:trHeight w:val="218"/>
        </w:trPr>
        <w:tc>
          <w:tcPr>
            <w:tcW w:w="3114" w:type="dxa"/>
            <w:hideMark/>
          </w:tcPr>
          <w:p w14:paraId="50005B7E" w14:textId="77777777" w:rsidR="00147921" w:rsidRPr="00194623" w:rsidRDefault="00147921" w:rsidP="00147921">
            <w:pPr>
              <w:autoSpaceDE w:val="0"/>
              <w:autoSpaceDN w:val="0"/>
              <w:adjustRightInd w:val="0"/>
              <w:spacing w:after="0" w:line="240" w:lineRule="auto"/>
              <w:rPr>
                <w:rFonts w:cstheme="minorHAnsi"/>
                <w:b/>
                <w:bCs/>
              </w:rPr>
            </w:pPr>
            <w:r w:rsidRPr="00194623">
              <w:rPr>
                <w:rFonts w:cstheme="minorHAnsi"/>
                <w:b/>
                <w:bCs/>
              </w:rPr>
              <w:t>Kontinuierliche Motorleistung</w:t>
            </w:r>
          </w:p>
        </w:tc>
        <w:tc>
          <w:tcPr>
            <w:tcW w:w="1706" w:type="dxa"/>
            <w:vAlign w:val="center"/>
          </w:tcPr>
          <w:p w14:paraId="38C2D806" w14:textId="77777777" w:rsidR="00147921" w:rsidRPr="00177E11" w:rsidRDefault="00147921" w:rsidP="00147921">
            <w:pPr>
              <w:autoSpaceDE w:val="0"/>
              <w:autoSpaceDN w:val="0"/>
              <w:adjustRightInd w:val="0"/>
              <w:spacing w:after="0" w:line="240" w:lineRule="auto"/>
              <w:rPr>
                <w:rFonts w:cstheme="minorHAnsi"/>
              </w:rPr>
            </w:pPr>
            <w:r w:rsidRPr="00177E11">
              <w:rPr>
                <w:rFonts w:cstheme="minorHAnsi"/>
              </w:rPr>
              <w:t>400 kW</w:t>
            </w:r>
          </w:p>
        </w:tc>
        <w:tc>
          <w:tcPr>
            <w:tcW w:w="1559" w:type="dxa"/>
            <w:vAlign w:val="center"/>
          </w:tcPr>
          <w:p w14:paraId="3A28040D" w14:textId="176AFFDD" w:rsidR="00147921" w:rsidRPr="00177E11" w:rsidRDefault="00147921" w:rsidP="00147921">
            <w:pPr>
              <w:autoSpaceDE w:val="0"/>
              <w:autoSpaceDN w:val="0"/>
              <w:adjustRightInd w:val="0"/>
              <w:spacing w:after="0" w:line="240" w:lineRule="auto"/>
              <w:rPr>
                <w:rFonts w:cstheme="minorHAnsi"/>
              </w:rPr>
            </w:pPr>
            <w:r w:rsidRPr="00177E11">
              <w:rPr>
                <w:rFonts w:cstheme="minorHAnsi"/>
              </w:rPr>
              <w:t>400 kW</w:t>
            </w:r>
          </w:p>
        </w:tc>
        <w:tc>
          <w:tcPr>
            <w:tcW w:w="1559" w:type="dxa"/>
            <w:vAlign w:val="center"/>
          </w:tcPr>
          <w:p w14:paraId="7AE5DEA2" w14:textId="0D3B523E" w:rsidR="00147921" w:rsidRPr="00177E11" w:rsidRDefault="00147921" w:rsidP="00147921">
            <w:pPr>
              <w:autoSpaceDE w:val="0"/>
              <w:autoSpaceDN w:val="0"/>
              <w:adjustRightInd w:val="0"/>
              <w:spacing w:after="0" w:line="240" w:lineRule="auto"/>
              <w:rPr>
                <w:rFonts w:cstheme="minorHAnsi"/>
              </w:rPr>
            </w:pPr>
            <w:r w:rsidRPr="00177E11">
              <w:rPr>
                <w:rFonts w:cstheme="minorHAnsi"/>
              </w:rPr>
              <w:t>400 kW</w:t>
            </w:r>
          </w:p>
        </w:tc>
        <w:tc>
          <w:tcPr>
            <w:tcW w:w="5235" w:type="dxa"/>
            <w:vAlign w:val="center"/>
          </w:tcPr>
          <w:p w14:paraId="28BD28BE" w14:textId="77AE190F" w:rsidR="00147921" w:rsidRPr="00177E11" w:rsidRDefault="00147921" w:rsidP="00147921">
            <w:pPr>
              <w:autoSpaceDE w:val="0"/>
              <w:autoSpaceDN w:val="0"/>
              <w:adjustRightInd w:val="0"/>
              <w:spacing w:after="0" w:line="240" w:lineRule="auto"/>
              <w:rPr>
                <w:rFonts w:cstheme="minorHAnsi"/>
              </w:rPr>
            </w:pPr>
            <w:r w:rsidRPr="00177E11">
              <w:rPr>
                <w:rFonts w:cstheme="minorHAnsi"/>
              </w:rPr>
              <w:t>400 kW</w:t>
            </w:r>
          </w:p>
        </w:tc>
      </w:tr>
      <w:tr w:rsidR="00147921" w14:paraId="53777AEC" w14:textId="104F1B79">
        <w:trPr>
          <w:trHeight w:val="108"/>
        </w:trPr>
        <w:tc>
          <w:tcPr>
            <w:tcW w:w="3114" w:type="dxa"/>
          </w:tcPr>
          <w:p w14:paraId="0DBA9593" w14:textId="77777777" w:rsidR="00147921" w:rsidRPr="00194623" w:rsidRDefault="00147921" w:rsidP="00147921">
            <w:pPr>
              <w:autoSpaceDE w:val="0"/>
              <w:autoSpaceDN w:val="0"/>
              <w:adjustRightInd w:val="0"/>
              <w:spacing w:after="0" w:line="240" w:lineRule="auto"/>
              <w:rPr>
                <w:rFonts w:cstheme="minorHAnsi"/>
                <w:b/>
                <w:bCs/>
              </w:rPr>
            </w:pPr>
            <w:r w:rsidRPr="00194623">
              <w:rPr>
                <w:rFonts w:cstheme="minorHAnsi"/>
                <w:b/>
                <w:bCs/>
              </w:rPr>
              <w:t>Max</w:t>
            </w:r>
            <w:r>
              <w:rPr>
                <w:rFonts w:cstheme="minorHAnsi"/>
                <w:b/>
                <w:bCs/>
              </w:rPr>
              <w:t>.</w:t>
            </w:r>
            <w:r w:rsidRPr="00194623">
              <w:rPr>
                <w:rFonts w:cstheme="minorHAnsi"/>
                <w:b/>
                <w:bCs/>
              </w:rPr>
              <w:t xml:space="preserve"> Motorleistung</w:t>
            </w:r>
          </w:p>
        </w:tc>
        <w:tc>
          <w:tcPr>
            <w:tcW w:w="1706" w:type="dxa"/>
            <w:vAlign w:val="center"/>
          </w:tcPr>
          <w:p w14:paraId="4A08ECF6" w14:textId="77777777" w:rsidR="00147921" w:rsidRPr="00177E11" w:rsidRDefault="00147921" w:rsidP="00147921">
            <w:pPr>
              <w:autoSpaceDE w:val="0"/>
              <w:autoSpaceDN w:val="0"/>
              <w:adjustRightInd w:val="0"/>
              <w:spacing w:after="0" w:line="240" w:lineRule="auto"/>
              <w:rPr>
                <w:rFonts w:cstheme="minorHAnsi"/>
              </w:rPr>
            </w:pPr>
            <w:r w:rsidRPr="00177E11">
              <w:rPr>
                <w:rFonts w:cstheme="minorHAnsi"/>
              </w:rPr>
              <w:t>550 kW</w:t>
            </w:r>
          </w:p>
        </w:tc>
        <w:tc>
          <w:tcPr>
            <w:tcW w:w="1559" w:type="dxa"/>
            <w:vAlign w:val="center"/>
          </w:tcPr>
          <w:p w14:paraId="445D5C6C" w14:textId="7EE67BA7" w:rsidR="00147921" w:rsidRPr="00177E11" w:rsidRDefault="00147921" w:rsidP="00147921">
            <w:pPr>
              <w:autoSpaceDE w:val="0"/>
              <w:autoSpaceDN w:val="0"/>
              <w:adjustRightInd w:val="0"/>
              <w:spacing w:after="0" w:line="240" w:lineRule="auto"/>
              <w:rPr>
                <w:rFonts w:cstheme="minorHAnsi"/>
              </w:rPr>
            </w:pPr>
            <w:r w:rsidRPr="00177E11">
              <w:rPr>
                <w:rFonts w:cstheme="minorHAnsi"/>
              </w:rPr>
              <w:t>550 kW</w:t>
            </w:r>
          </w:p>
        </w:tc>
        <w:tc>
          <w:tcPr>
            <w:tcW w:w="1559" w:type="dxa"/>
            <w:vAlign w:val="center"/>
          </w:tcPr>
          <w:p w14:paraId="156BB820" w14:textId="143D09C5" w:rsidR="00147921" w:rsidRPr="00177E11" w:rsidRDefault="00147921" w:rsidP="00147921">
            <w:pPr>
              <w:autoSpaceDE w:val="0"/>
              <w:autoSpaceDN w:val="0"/>
              <w:adjustRightInd w:val="0"/>
              <w:spacing w:after="0" w:line="240" w:lineRule="auto"/>
              <w:rPr>
                <w:rFonts w:cstheme="minorHAnsi"/>
              </w:rPr>
            </w:pPr>
            <w:r w:rsidRPr="00177E11">
              <w:rPr>
                <w:rFonts w:cstheme="minorHAnsi"/>
              </w:rPr>
              <w:t>550 kW</w:t>
            </w:r>
          </w:p>
        </w:tc>
        <w:tc>
          <w:tcPr>
            <w:tcW w:w="5235" w:type="dxa"/>
            <w:vAlign w:val="center"/>
          </w:tcPr>
          <w:p w14:paraId="45DDAD0D" w14:textId="6D044C2F" w:rsidR="00147921" w:rsidRPr="00177E11" w:rsidRDefault="00147921" w:rsidP="00147921">
            <w:pPr>
              <w:autoSpaceDE w:val="0"/>
              <w:autoSpaceDN w:val="0"/>
              <w:adjustRightInd w:val="0"/>
              <w:spacing w:after="0" w:line="240" w:lineRule="auto"/>
              <w:rPr>
                <w:rFonts w:cstheme="minorHAnsi"/>
              </w:rPr>
            </w:pPr>
            <w:r w:rsidRPr="00177E11">
              <w:rPr>
                <w:rFonts w:cstheme="minorHAnsi"/>
              </w:rPr>
              <w:t>550 kW</w:t>
            </w:r>
          </w:p>
        </w:tc>
      </w:tr>
      <w:tr w:rsidR="00147921" w14:paraId="0DE72886" w14:textId="12BD3117">
        <w:trPr>
          <w:trHeight w:val="258"/>
        </w:trPr>
        <w:tc>
          <w:tcPr>
            <w:tcW w:w="3114" w:type="dxa"/>
            <w:hideMark/>
          </w:tcPr>
          <w:p w14:paraId="29B39C9B" w14:textId="77777777" w:rsidR="00147921" w:rsidRPr="00194623" w:rsidRDefault="00147921" w:rsidP="00147921">
            <w:pPr>
              <w:autoSpaceDE w:val="0"/>
              <w:autoSpaceDN w:val="0"/>
              <w:adjustRightInd w:val="0"/>
              <w:spacing w:after="0" w:line="240" w:lineRule="auto"/>
              <w:rPr>
                <w:rFonts w:cstheme="minorHAnsi"/>
                <w:b/>
                <w:bCs/>
              </w:rPr>
            </w:pPr>
            <w:r w:rsidRPr="00194623">
              <w:rPr>
                <w:rFonts w:cstheme="minorHAnsi"/>
                <w:b/>
                <w:bCs/>
              </w:rPr>
              <w:t>Max</w:t>
            </w:r>
            <w:r>
              <w:rPr>
                <w:rFonts w:cstheme="minorHAnsi"/>
                <w:b/>
                <w:bCs/>
              </w:rPr>
              <w:t>.</w:t>
            </w:r>
            <w:r w:rsidRPr="00194623">
              <w:rPr>
                <w:rFonts w:cstheme="minorHAnsi"/>
                <w:b/>
                <w:bCs/>
              </w:rPr>
              <w:t xml:space="preserve"> Reichweite </w:t>
            </w:r>
          </w:p>
        </w:tc>
        <w:tc>
          <w:tcPr>
            <w:tcW w:w="1706" w:type="dxa"/>
            <w:vAlign w:val="center"/>
          </w:tcPr>
          <w:p w14:paraId="6A8BBD39" w14:textId="77777777" w:rsidR="00147921" w:rsidRPr="00177E11" w:rsidRDefault="00147921" w:rsidP="00147921">
            <w:pPr>
              <w:autoSpaceDE w:val="0"/>
              <w:autoSpaceDN w:val="0"/>
              <w:adjustRightInd w:val="0"/>
              <w:spacing w:after="0" w:line="240" w:lineRule="auto"/>
              <w:rPr>
                <w:rFonts w:cstheme="minorHAnsi"/>
              </w:rPr>
            </w:pPr>
            <w:r w:rsidRPr="00177E11">
              <w:rPr>
                <w:rFonts w:cstheme="minorHAnsi"/>
              </w:rPr>
              <w:t>Bis zu 700 km</w:t>
            </w:r>
          </w:p>
        </w:tc>
        <w:tc>
          <w:tcPr>
            <w:tcW w:w="1559" w:type="dxa"/>
            <w:vAlign w:val="center"/>
          </w:tcPr>
          <w:p w14:paraId="1AE1E1D8" w14:textId="6B22A29D" w:rsidR="00147921" w:rsidRPr="00177E11" w:rsidRDefault="00147921" w:rsidP="00147921">
            <w:pPr>
              <w:autoSpaceDE w:val="0"/>
              <w:autoSpaceDN w:val="0"/>
              <w:adjustRightInd w:val="0"/>
              <w:spacing w:after="0" w:line="240" w:lineRule="auto"/>
              <w:rPr>
                <w:rFonts w:cstheme="minorHAnsi"/>
              </w:rPr>
            </w:pPr>
            <w:r w:rsidRPr="00177E11">
              <w:rPr>
                <w:rFonts w:cstheme="minorHAnsi"/>
              </w:rPr>
              <w:t>Bis zu 700 km</w:t>
            </w:r>
          </w:p>
        </w:tc>
        <w:tc>
          <w:tcPr>
            <w:tcW w:w="1559" w:type="dxa"/>
            <w:vAlign w:val="center"/>
          </w:tcPr>
          <w:p w14:paraId="418DB62B" w14:textId="2FF8E1F7" w:rsidR="00147921" w:rsidRPr="00177E11" w:rsidRDefault="00147921" w:rsidP="00147921">
            <w:pPr>
              <w:autoSpaceDE w:val="0"/>
              <w:autoSpaceDN w:val="0"/>
              <w:adjustRightInd w:val="0"/>
              <w:spacing w:after="0" w:line="240" w:lineRule="auto"/>
              <w:rPr>
                <w:rFonts w:cstheme="minorHAnsi"/>
              </w:rPr>
            </w:pPr>
            <w:r w:rsidRPr="00177E11">
              <w:rPr>
                <w:rFonts w:cstheme="minorHAnsi"/>
              </w:rPr>
              <w:t>Bis zu 1</w:t>
            </w:r>
            <w:r>
              <w:rPr>
                <w:rFonts w:cstheme="minorHAnsi"/>
              </w:rPr>
              <w:t>1</w:t>
            </w:r>
            <w:r w:rsidRPr="00177E11">
              <w:rPr>
                <w:rFonts w:cstheme="minorHAnsi"/>
              </w:rPr>
              <w:t>00 km</w:t>
            </w:r>
          </w:p>
        </w:tc>
        <w:tc>
          <w:tcPr>
            <w:tcW w:w="5235" w:type="dxa"/>
            <w:vAlign w:val="center"/>
          </w:tcPr>
          <w:p w14:paraId="7F10F5C0" w14:textId="7EEA377E" w:rsidR="00147921" w:rsidRPr="00177E11" w:rsidRDefault="00147921" w:rsidP="00147921">
            <w:pPr>
              <w:autoSpaceDE w:val="0"/>
              <w:autoSpaceDN w:val="0"/>
              <w:adjustRightInd w:val="0"/>
              <w:spacing w:after="0" w:line="240" w:lineRule="auto"/>
              <w:rPr>
                <w:rFonts w:cstheme="minorHAnsi"/>
              </w:rPr>
            </w:pPr>
            <w:r w:rsidRPr="00177E11">
              <w:rPr>
                <w:rFonts w:cstheme="minorHAnsi"/>
              </w:rPr>
              <w:t>Bis zu 1</w:t>
            </w:r>
            <w:r>
              <w:rPr>
                <w:rFonts w:cstheme="minorHAnsi"/>
              </w:rPr>
              <w:t>5</w:t>
            </w:r>
            <w:r w:rsidRPr="00177E11">
              <w:rPr>
                <w:rFonts w:cstheme="minorHAnsi"/>
              </w:rPr>
              <w:t>00 km</w:t>
            </w:r>
          </w:p>
        </w:tc>
      </w:tr>
      <w:tr w:rsidR="00147921" w14:paraId="7BFAA867" w14:textId="316A798A">
        <w:trPr>
          <w:trHeight w:val="108"/>
        </w:trPr>
        <w:tc>
          <w:tcPr>
            <w:tcW w:w="3114" w:type="dxa"/>
            <w:hideMark/>
          </w:tcPr>
          <w:p w14:paraId="780A56F9" w14:textId="77777777" w:rsidR="00147921" w:rsidRPr="00194623" w:rsidRDefault="00147921" w:rsidP="00147921">
            <w:pPr>
              <w:autoSpaceDE w:val="0"/>
              <w:autoSpaceDN w:val="0"/>
              <w:adjustRightInd w:val="0"/>
              <w:spacing w:after="0" w:line="240" w:lineRule="auto"/>
              <w:rPr>
                <w:rFonts w:cstheme="minorHAnsi"/>
                <w:b/>
                <w:bCs/>
              </w:rPr>
            </w:pPr>
            <w:r w:rsidRPr="00194623">
              <w:rPr>
                <w:rFonts w:cstheme="minorHAnsi"/>
                <w:b/>
                <w:bCs/>
              </w:rPr>
              <w:t>Tankvolumen</w:t>
            </w:r>
          </w:p>
        </w:tc>
        <w:tc>
          <w:tcPr>
            <w:tcW w:w="1706" w:type="dxa"/>
            <w:vAlign w:val="center"/>
          </w:tcPr>
          <w:p w14:paraId="3FB7746F" w14:textId="77777777" w:rsidR="00147921" w:rsidRPr="00177E11" w:rsidRDefault="00147921" w:rsidP="00147921">
            <w:pPr>
              <w:autoSpaceDE w:val="0"/>
              <w:autoSpaceDN w:val="0"/>
              <w:adjustRightInd w:val="0"/>
              <w:spacing w:after="0" w:line="240" w:lineRule="auto"/>
              <w:rPr>
                <w:rFonts w:cstheme="minorHAnsi"/>
              </w:rPr>
            </w:pPr>
            <w:r w:rsidRPr="00177E11">
              <w:rPr>
                <w:rFonts w:cstheme="minorHAnsi"/>
              </w:rPr>
              <w:t>54 kg</w:t>
            </w:r>
          </w:p>
        </w:tc>
        <w:tc>
          <w:tcPr>
            <w:tcW w:w="1559" w:type="dxa"/>
            <w:vAlign w:val="center"/>
          </w:tcPr>
          <w:p w14:paraId="5BF2095E" w14:textId="2AC53F12" w:rsidR="00147921" w:rsidRPr="00177E11" w:rsidRDefault="00147921" w:rsidP="00147921">
            <w:pPr>
              <w:autoSpaceDE w:val="0"/>
              <w:autoSpaceDN w:val="0"/>
              <w:adjustRightInd w:val="0"/>
              <w:spacing w:after="0" w:line="240" w:lineRule="auto"/>
              <w:rPr>
                <w:rFonts w:cstheme="minorHAnsi"/>
              </w:rPr>
            </w:pPr>
            <w:r w:rsidRPr="00177E11">
              <w:rPr>
                <w:rFonts w:cstheme="minorHAnsi"/>
              </w:rPr>
              <w:t>54 kg</w:t>
            </w:r>
          </w:p>
        </w:tc>
        <w:tc>
          <w:tcPr>
            <w:tcW w:w="1559" w:type="dxa"/>
            <w:vAlign w:val="center"/>
          </w:tcPr>
          <w:p w14:paraId="731222DD" w14:textId="1BCD4280" w:rsidR="00147921" w:rsidRPr="00177E11" w:rsidRDefault="00147921" w:rsidP="00147921">
            <w:pPr>
              <w:autoSpaceDE w:val="0"/>
              <w:autoSpaceDN w:val="0"/>
              <w:adjustRightInd w:val="0"/>
              <w:spacing w:after="0" w:line="240" w:lineRule="auto"/>
              <w:rPr>
                <w:rFonts w:cstheme="minorHAnsi"/>
              </w:rPr>
            </w:pPr>
            <w:r w:rsidRPr="00177E11">
              <w:rPr>
                <w:rFonts w:cstheme="minorHAnsi"/>
              </w:rPr>
              <w:t>116 kg</w:t>
            </w:r>
          </w:p>
        </w:tc>
        <w:tc>
          <w:tcPr>
            <w:tcW w:w="5235" w:type="dxa"/>
            <w:vAlign w:val="center"/>
          </w:tcPr>
          <w:p w14:paraId="5CC57ADF" w14:textId="5F44512A" w:rsidR="00147921" w:rsidRPr="00177E11" w:rsidRDefault="00147921" w:rsidP="00147921">
            <w:pPr>
              <w:autoSpaceDE w:val="0"/>
              <w:autoSpaceDN w:val="0"/>
              <w:adjustRightInd w:val="0"/>
              <w:spacing w:after="0" w:line="240" w:lineRule="auto"/>
              <w:rPr>
                <w:rFonts w:cstheme="minorHAnsi"/>
              </w:rPr>
            </w:pPr>
            <w:r w:rsidRPr="00177E11">
              <w:rPr>
                <w:rFonts w:cstheme="minorHAnsi"/>
              </w:rPr>
              <w:t>116 kg</w:t>
            </w:r>
          </w:p>
        </w:tc>
      </w:tr>
      <w:tr w:rsidR="00147921" w:rsidRPr="00B87C0A" w14:paraId="749BA2B9" w14:textId="408D6EC9">
        <w:trPr>
          <w:trHeight w:val="272"/>
        </w:trPr>
        <w:tc>
          <w:tcPr>
            <w:tcW w:w="3114" w:type="dxa"/>
            <w:hideMark/>
          </w:tcPr>
          <w:p w14:paraId="5A1B6EB4" w14:textId="77777777" w:rsidR="00147921" w:rsidRPr="00194623" w:rsidRDefault="00147921" w:rsidP="00147921">
            <w:pPr>
              <w:autoSpaceDE w:val="0"/>
              <w:autoSpaceDN w:val="0"/>
              <w:adjustRightInd w:val="0"/>
              <w:spacing w:after="0" w:line="240" w:lineRule="auto"/>
              <w:rPr>
                <w:rFonts w:cstheme="minorHAnsi"/>
                <w:b/>
                <w:bCs/>
              </w:rPr>
            </w:pPr>
            <w:r w:rsidRPr="00194623">
              <w:rPr>
                <w:rFonts w:cstheme="minorHAnsi"/>
                <w:b/>
                <w:bCs/>
              </w:rPr>
              <w:t>Batteriekapazität</w:t>
            </w:r>
          </w:p>
        </w:tc>
        <w:tc>
          <w:tcPr>
            <w:tcW w:w="1706" w:type="dxa"/>
            <w:vAlign w:val="center"/>
          </w:tcPr>
          <w:p w14:paraId="6972CFD2" w14:textId="77777777" w:rsidR="00147921" w:rsidRPr="00177E11" w:rsidRDefault="00147921" w:rsidP="00147921">
            <w:pPr>
              <w:autoSpaceDE w:val="0"/>
              <w:autoSpaceDN w:val="0"/>
              <w:adjustRightInd w:val="0"/>
              <w:spacing w:after="0" w:line="240" w:lineRule="auto"/>
              <w:rPr>
                <w:rFonts w:cstheme="minorHAnsi"/>
                <w:lang w:val="en-US"/>
              </w:rPr>
            </w:pPr>
            <w:r w:rsidRPr="00177E11">
              <w:rPr>
                <w:rFonts w:cstheme="minorHAnsi"/>
                <w:lang w:val="en-US"/>
              </w:rPr>
              <w:t>118 kWh</w:t>
            </w:r>
          </w:p>
        </w:tc>
        <w:tc>
          <w:tcPr>
            <w:tcW w:w="1559" w:type="dxa"/>
            <w:vAlign w:val="center"/>
          </w:tcPr>
          <w:p w14:paraId="5850070C" w14:textId="6C116DE1" w:rsidR="00147921" w:rsidRPr="00177E11" w:rsidRDefault="00147921" w:rsidP="00147921">
            <w:pPr>
              <w:autoSpaceDE w:val="0"/>
              <w:autoSpaceDN w:val="0"/>
              <w:adjustRightInd w:val="0"/>
              <w:spacing w:after="0" w:line="240" w:lineRule="auto"/>
              <w:rPr>
                <w:rFonts w:cstheme="minorHAnsi"/>
                <w:lang w:val="en-US"/>
              </w:rPr>
            </w:pPr>
            <w:r w:rsidRPr="00177E11">
              <w:rPr>
                <w:rFonts w:cstheme="minorHAnsi"/>
                <w:lang w:val="en-US"/>
              </w:rPr>
              <w:t>118 kWh</w:t>
            </w:r>
          </w:p>
        </w:tc>
        <w:tc>
          <w:tcPr>
            <w:tcW w:w="1559" w:type="dxa"/>
            <w:vAlign w:val="center"/>
          </w:tcPr>
          <w:p w14:paraId="00C792E3" w14:textId="4E26AAF2" w:rsidR="00147921" w:rsidRPr="00177E11" w:rsidRDefault="00147921" w:rsidP="00147921">
            <w:pPr>
              <w:autoSpaceDE w:val="0"/>
              <w:autoSpaceDN w:val="0"/>
              <w:adjustRightInd w:val="0"/>
              <w:spacing w:after="0" w:line="240" w:lineRule="auto"/>
              <w:rPr>
                <w:rFonts w:cstheme="minorHAnsi"/>
                <w:lang w:val="en-US"/>
              </w:rPr>
            </w:pPr>
            <w:r w:rsidRPr="00177E11">
              <w:rPr>
                <w:rFonts w:cstheme="minorHAnsi"/>
                <w:lang w:val="en-US"/>
              </w:rPr>
              <w:t>118 kWh</w:t>
            </w:r>
          </w:p>
        </w:tc>
        <w:tc>
          <w:tcPr>
            <w:tcW w:w="5235" w:type="dxa"/>
            <w:vAlign w:val="center"/>
          </w:tcPr>
          <w:p w14:paraId="0CDFF6A8" w14:textId="5AEAA79A" w:rsidR="00147921" w:rsidRPr="00177E11" w:rsidRDefault="00147921" w:rsidP="00147921">
            <w:pPr>
              <w:autoSpaceDE w:val="0"/>
              <w:autoSpaceDN w:val="0"/>
              <w:adjustRightInd w:val="0"/>
              <w:spacing w:after="0" w:line="240" w:lineRule="auto"/>
              <w:rPr>
                <w:rFonts w:cstheme="minorHAnsi"/>
                <w:lang w:val="en-US"/>
              </w:rPr>
            </w:pPr>
            <w:r w:rsidRPr="00177E11">
              <w:rPr>
                <w:rFonts w:cstheme="minorHAnsi"/>
                <w:lang w:val="en-US"/>
              </w:rPr>
              <w:t>118 kWh</w:t>
            </w:r>
          </w:p>
        </w:tc>
      </w:tr>
      <w:tr w:rsidR="00147921" w14:paraId="7A2E3D34" w14:textId="0F7D5AFD">
        <w:trPr>
          <w:trHeight w:val="108"/>
        </w:trPr>
        <w:tc>
          <w:tcPr>
            <w:tcW w:w="3114" w:type="dxa"/>
            <w:hideMark/>
          </w:tcPr>
          <w:p w14:paraId="11BE8194" w14:textId="77777777" w:rsidR="00147921" w:rsidRPr="00194623" w:rsidRDefault="00147921" w:rsidP="00147921">
            <w:pPr>
              <w:autoSpaceDE w:val="0"/>
              <w:autoSpaceDN w:val="0"/>
              <w:adjustRightInd w:val="0"/>
              <w:spacing w:after="0" w:line="240" w:lineRule="auto"/>
              <w:rPr>
                <w:rFonts w:cstheme="minorHAnsi"/>
                <w:b/>
                <w:bCs/>
              </w:rPr>
            </w:pPr>
            <w:r w:rsidRPr="00194623">
              <w:rPr>
                <w:rFonts w:cstheme="minorHAnsi"/>
                <w:b/>
                <w:bCs/>
              </w:rPr>
              <w:t>Brennstoffzellenleistung</w:t>
            </w:r>
          </w:p>
        </w:tc>
        <w:tc>
          <w:tcPr>
            <w:tcW w:w="1706" w:type="dxa"/>
            <w:vAlign w:val="center"/>
          </w:tcPr>
          <w:p w14:paraId="547DD3AC" w14:textId="77777777" w:rsidR="00147921" w:rsidRPr="00177E11" w:rsidRDefault="00147921" w:rsidP="00147921">
            <w:pPr>
              <w:autoSpaceDE w:val="0"/>
              <w:autoSpaceDN w:val="0"/>
              <w:adjustRightInd w:val="0"/>
              <w:spacing w:after="0" w:line="240" w:lineRule="auto"/>
              <w:rPr>
                <w:rFonts w:cstheme="minorHAnsi"/>
              </w:rPr>
            </w:pPr>
            <w:r w:rsidRPr="00177E11">
              <w:rPr>
                <w:rFonts w:cstheme="minorHAnsi"/>
              </w:rPr>
              <w:t>240 kW</w:t>
            </w:r>
          </w:p>
        </w:tc>
        <w:tc>
          <w:tcPr>
            <w:tcW w:w="1559" w:type="dxa"/>
            <w:vAlign w:val="center"/>
          </w:tcPr>
          <w:p w14:paraId="576648D2" w14:textId="73B1307E" w:rsidR="00147921" w:rsidRPr="00177E11" w:rsidRDefault="00147921" w:rsidP="00147921">
            <w:pPr>
              <w:autoSpaceDE w:val="0"/>
              <w:autoSpaceDN w:val="0"/>
              <w:adjustRightInd w:val="0"/>
              <w:spacing w:after="0" w:line="240" w:lineRule="auto"/>
              <w:rPr>
                <w:rFonts w:cstheme="minorHAnsi"/>
              </w:rPr>
            </w:pPr>
            <w:r w:rsidRPr="00177E11">
              <w:rPr>
                <w:rFonts w:cstheme="minorHAnsi"/>
              </w:rPr>
              <w:t>Bis zu 240 kW</w:t>
            </w:r>
          </w:p>
        </w:tc>
        <w:tc>
          <w:tcPr>
            <w:tcW w:w="1559" w:type="dxa"/>
            <w:vAlign w:val="center"/>
          </w:tcPr>
          <w:p w14:paraId="62D4EAD7" w14:textId="07713B28" w:rsidR="00147921" w:rsidRPr="00177E11" w:rsidRDefault="00147921" w:rsidP="00147921">
            <w:pPr>
              <w:autoSpaceDE w:val="0"/>
              <w:autoSpaceDN w:val="0"/>
              <w:adjustRightInd w:val="0"/>
              <w:spacing w:after="0" w:line="240" w:lineRule="auto"/>
              <w:rPr>
                <w:rFonts w:cstheme="minorHAnsi"/>
              </w:rPr>
            </w:pPr>
            <w:r w:rsidRPr="00177E11">
              <w:rPr>
                <w:rFonts w:cstheme="minorHAnsi"/>
              </w:rPr>
              <w:t>240 kW</w:t>
            </w:r>
          </w:p>
        </w:tc>
        <w:tc>
          <w:tcPr>
            <w:tcW w:w="5235" w:type="dxa"/>
            <w:vAlign w:val="center"/>
          </w:tcPr>
          <w:p w14:paraId="571852AF" w14:textId="772C95A2" w:rsidR="00147921" w:rsidRPr="00177E11" w:rsidRDefault="00147921" w:rsidP="00147921">
            <w:pPr>
              <w:autoSpaceDE w:val="0"/>
              <w:autoSpaceDN w:val="0"/>
              <w:adjustRightInd w:val="0"/>
              <w:spacing w:after="0" w:line="240" w:lineRule="auto"/>
              <w:rPr>
                <w:rFonts w:cstheme="minorHAnsi"/>
              </w:rPr>
            </w:pPr>
            <w:r w:rsidRPr="00177E11">
              <w:rPr>
                <w:rFonts w:cstheme="minorHAnsi"/>
              </w:rPr>
              <w:t>240 kW</w:t>
            </w:r>
          </w:p>
        </w:tc>
      </w:tr>
      <w:tr w:rsidR="00147921" w14:paraId="50FB0CB8" w14:textId="2B62E975" w:rsidTr="00147921">
        <w:trPr>
          <w:trHeight w:val="108"/>
        </w:trPr>
        <w:tc>
          <w:tcPr>
            <w:tcW w:w="3114" w:type="dxa"/>
            <w:hideMark/>
          </w:tcPr>
          <w:p w14:paraId="5AEEFE48" w14:textId="77777777" w:rsidR="00147921" w:rsidRPr="00194623" w:rsidRDefault="00147921" w:rsidP="00147921">
            <w:pPr>
              <w:autoSpaceDE w:val="0"/>
              <w:autoSpaceDN w:val="0"/>
              <w:adjustRightInd w:val="0"/>
              <w:spacing w:after="0" w:line="240" w:lineRule="auto"/>
              <w:rPr>
                <w:rFonts w:cstheme="minorHAnsi"/>
                <w:b/>
                <w:bCs/>
              </w:rPr>
            </w:pPr>
            <w:r w:rsidRPr="00194623">
              <w:rPr>
                <w:rFonts w:cstheme="minorHAnsi"/>
                <w:b/>
                <w:bCs/>
              </w:rPr>
              <w:t>Achsenkonfiguration</w:t>
            </w:r>
          </w:p>
        </w:tc>
        <w:tc>
          <w:tcPr>
            <w:tcW w:w="1706" w:type="dxa"/>
          </w:tcPr>
          <w:p w14:paraId="1D9DFCE1" w14:textId="77777777" w:rsidR="00147921" w:rsidRPr="00177E11" w:rsidRDefault="00147921" w:rsidP="00147921">
            <w:pPr>
              <w:autoSpaceDE w:val="0"/>
              <w:autoSpaceDN w:val="0"/>
              <w:adjustRightInd w:val="0"/>
              <w:spacing w:after="0" w:line="240" w:lineRule="auto"/>
              <w:rPr>
                <w:rFonts w:cstheme="minorHAnsi"/>
              </w:rPr>
            </w:pPr>
            <w:r w:rsidRPr="00177E11">
              <w:rPr>
                <w:rFonts w:cstheme="minorHAnsi"/>
              </w:rPr>
              <w:t>4x2, 6x2</w:t>
            </w:r>
          </w:p>
        </w:tc>
        <w:tc>
          <w:tcPr>
            <w:tcW w:w="1559" w:type="dxa"/>
          </w:tcPr>
          <w:p w14:paraId="0297F9D4" w14:textId="6F9E575E" w:rsidR="00147921" w:rsidRPr="00177E11" w:rsidRDefault="00147921" w:rsidP="00147921">
            <w:pPr>
              <w:autoSpaceDE w:val="0"/>
              <w:autoSpaceDN w:val="0"/>
              <w:adjustRightInd w:val="0"/>
              <w:spacing w:after="0" w:line="240" w:lineRule="auto"/>
              <w:rPr>
                <w:rFonts w:cstheme="minorHAnsi"/>
              </w:rPr>
            </w:pPr>
            <w:r w:rsidRPr="00177E11">
              <w:rPr>
                <w:rFonts w:cstheme="minorHAnsi"/>
              </w:rPr>
              <w:t>4x2, 6x2</w:t>
            </w:r>
          </w:p>
        </w:tc>
        <w:tc>
          <w:tcPr>
            <w:tcW w:w="1559" w:type="dxa"/>
          </w:tcPr>
          <w:p w14:paraId="05BCB1D2" w14:textId="2B2A8D60" w:rsidR="00147921" w:rsidRPr="00177E11" w:rsidRDefault="00147921" w:rsidP="00147921">
            <w:pPr>
              <w:autoSpaceDE w:val="0"/>
              <w:autoSpaceDN w:val="0"/>
              <w:adjustRightInd w:val="0"/>
              <w:spacing w:after="0" w:line="240" w:lineRule="auto"/>
              <w:rPr>
                <w:rFonts w:cstheme="minorHAnsi"/>
              </w:rPr>
            </w:pPr>
            <w:r w:rsidRPr="00177E11">
              <w:rPr>
                <w:rFonts w:cstheme="minorHAnsi"/>
              </w:rPr>
              <w:t>6x2</w:t>
            </w:r>
          </w:p>
        </w:tc>
        <w:tc>
          <w:tcPr>
            <w:tcW w:w="5235" w:type="dxa"/>
          </w:tcPr>
          <w:p w14:paraId="0CA2F7C3" w14:textId="04756E21" w:rsidR="00147921" w:rsidRPr="00177E11" w:rsidRDefault="00147921" w:rsidP="00147921">
            <w:pPr>
              <w:autoSpaceDE w:val="0"/>
              <w:autoSpaceDN w:val="0"/>
              <w:adjustRightInd w:val="0"/>
              <w:spacing w:after="0" w:line="240" w:lineRule="auto"/>
              <w:rPr>
                <w:rFonts w:cstheme="minorHAnsi"/>
              </w:rPr>
            </w:pPr>
            <w:r w:rsidRPr="00177E11">
              <w:rPr>
                <w:rFonts w:cstheme="minorHAnsi"/>
              </w:rPr>
              <w:t>6x2</w:t>
            </w:r>
          </w:p>
        </w:tc>
      </w:tr>
      <w:tr w:rsidR="00147921" w14:paraId="0519F1DF" w14:textId="729FF624" w:rsidTr="00147921">
        <w:trPr>
          <w:trHeight w:val="206"/>
        </w:trPr>
        <w:tc>
          <w:tcPr>
            <w:tcW w:w="3114" w:type="dxa"/>
          </w:tcPr>
          <w:p w14:paraId="4A23C589" w14:textId="77777777" w:rsidR="00147921" w:rsidRPr="00194623" w:rsidRDefault="00147921" w:rsidP="00147921">
            <w:pPr>
              <w:autoSpaceDE w:val="0"/>
              <w:autoSpaceDN w:val="0"/>
              <w:adjustRightInd w:val="0"/>
              <w:spacing w:after="0" w:line="240" w:lineRule="auto"/>
              <w:rPr>
                <w:rFonts w:cstheme="minorHAnsi"/>
                <w:b/>
                <w:bCs/>
              </w:rPr>
            </w:pPr>
            <w:r w:rsidRPr="00194623">
              <w:rPr>
                <w:rFonts w:cstheme="minorHAnsi"/>
                <w:b/>
                <w:bCs/>
              </w:rPr>
              <w:t>SOP</w:t>
            </w:r>
          </w:p>
        </w:tc>
        <w:tc>
          <w:tcPr>
            <w:tcW w:w="1706" w:type="dxa"/>
          </w:tcPr>
          <w:p w14:paraId="595DF8AD" w14:textId="77777777" w:rsidR="00147921" w:rsidRPr="00177E11" w:rsidRDefault="00147921" w:rsidP="00147921">
            <w:pPr>
              <w:autoSpaceDE w:val="0"/>
              <w:autoSpaceDN w:val="0"/>
              <w:adjustRightInd w:val="0"/>
              <w:spacing w:after="0" w:line="240" w:lineRule="auto"/>
              <w:rPr>
                <w:rFonts w:cstheme="minorHAnsi"/>
              </w:rPr>
            </w:pPr>
            <w:r w:rsidRPr="00177E11">
              <w:rPr>
                <w:rFonts w:cstheme="minorHAnsi"/>
              </w:rPr>
              <w:t>Q2 2023</w:t>
            </w:r>
          </w:p>
        </w:tc>
        <w:tc>
          <w:tcPr>
            <w:tcW w:w="1559" w:type="dxa"/>
          </w:tcPr>
          <w:p w14:paraId="6B1F433F" w14:textId="288AAC42" w:rsidR="00147921" w:rsidRPr="00177E11" w:rsidRDefault="00147921" w:rsidP="00147921">
            <w:pPr>
              <w:autoSpaceDE w:val="0"/>
              <w:autoSpaceDN w:val="0"/>
              <w:adjustRightInd w:val="0"/>
              <w:spacing w:after="0" w:line="240" w:lineRule="auto"/>
              <w:rPr>
                <w:rFonts w:cstheme="minorHAnsi"/>
              </w:rPr>
            </w:pPr>
            <w:r w:rsidRPr="00177E11">
              <w:rPr>
                <w:rFonts w:cstheme="minorHAnsi"/>
              </w:rPr>
              <w:t>Q2 2023</w:t>
            </w:r>
          </w:p>
        </w:tc>
        <w:tc>
          <w:tcPr>
            <w:tcW w:w="1559" w:type="dxa"/>
          </w:tcPr>
          <w:p w14:paraId="650F0050" w14:textId="0000E475" w:rsidR="00147921" w:rsidRPr="00177E11" w:rsidRDefault="00147921" w:rsidP="00147921">
            <w:pPr>
              <w:autoSpaceDE w:val="0"/>
              <w:autoSpaceDN w:val="0"/>
              <w:adjustRightInd w:val="0"/>
              <w:spacing w:after="0" w:line="240" w:lineRule="auto"/>
              <w:rPr>
                <w:rFonts w:cstheme="minorHAnsi"/>
              </w:rPr>
            </w:pPr>
            <w:r w:rsidRPr="00177E11">
              <w:rPr>
                <w:rFonts w:cstheme="minorHAnsi"/>
              </w:rPr>
              <w:t>Q3 2023</w:t>
            </w:r>
          </w:p>
        </w:tc>
        <w:tc>
          <w:tcPr>
            <w:tcW w:w="5235" w:type="dxa"/>
          </w:tcPr>
          <w:p w14:paraId="7DB2B8C9" w14:textId="280E8849" w:rsidR="00147921" w:rsidRPr="00177E11" w:rsidRDefault="00147921" w:rsidP="00147921">
            <w:pPr>
              <w:autoSpaceDE w:val="0"/>
              <w:autoSpaceDN w:val="0"/>
              <w:adjustRightInd w:val="0"/>
              <w:spacing w:after="0" w:line="240" w:lineRule="auto"/>
              <w:rPr>
                <w:rFonts w:cstheme="minorHAnsi"/>
              </w:rPr>
            </w:pPr>
            <w:r w:rsidRPr="00177E11">
              <w:rPr>
                <w:rFonts w:cstheme="minorHAnsi"/>
              </w:rPr>
              <w:t>Q3 2023</w:t>
            </w:r>
          </w:p>
        </w:tc>
      </w:tr>
    </w:tbl>
    <w:p w14:paraId="4070F7B1" w14:textId="75721376" w:rsidR="00D414C4" w:rsidRPr="00A67CBA" w:rsidRDefault="00D414C4" w:rsidP="006B68AB">
      <w:pPr>
        <w:rPr>
          <w:rFonts w:cstheme="minorHAnsi"/>
          <w:b/>
          <w:bCs/>
        </w:rPr>
      </w:pPr>
    </w:p>
    <w:tbl>
      <w:tblPr>
        <w:tblpPr w:leftFromText="141" w:rightFromText="141" w:bottomFromText="200" w:vertAnchor="text" w:horzAnchor="margin" w:tblpY="137"/>
        <w:tblOverlap w:val="never"/>
        <w:tblW w:w="9350" w:type="dxa"/>
        <w:tblLayout w:type="fixed"/>
        <w:tblLook w:val="04A0" w:firstRow="1" w:lastRow="0" w:firstColumn="1" w:lastColumn="0" w:noHBand="0" w:noVBand="1"/>
      </w:tblPr>
      <w:tblGrid>
        <w:gridCol w:w="3114"/>
        <w:gridCol w:w="3118"/>
        <w:gridCol w:w="3118"/>
      </w:tblGrid>
      <w:tr w:rsidR="00E251EC" w:rsidRPr="00A67CBA" w14:paraId="626FB86D" w14:textId="04D46513">
        <w:trPr>
          <w:trHeight w:val="1"/>
        </w:trPr>
        <w:tc>
          <w:tcPr>
            <w:tcW w:w="3114" w:type="dxa"/>
          </w:tcPr>
          <w:p w14:paraId="73C15A7A" w14:textId="339358A7" w:rsidR="00E251EC" w:rsidRPr="00194623" w:rsidRDefault="00E251EC" w:rsidP="00E251EC">
            <w:pPr>
              <w:autoSpaceDE w:val="0"/>
              <w:autoSpaceDN w:val="0"/>
              <w:adjustRightInd w:val="0"/>
              <w:spacing w:after="0" w:line="240" w:lineRule="auto"/>
              <w:rPr>
                <w:rFonts w:cstheme="minorHAnsi"/>
                <w:b/>
                <w:bCs/>
              </w:rPr>
            </w:pPr>
          </w:p>
        </w:tc>
        <w:tc>
          <w:tcPr>
            <w:tcW w:w="3118" w:type="dxa"/>
          </w:tcPr>
          <w:p w14:paraId="5BB8FA85" w14:textId="5DCE4A25" w:rsidR="00E251EC" w:rsidRPr="00A67CBA" w:rsidRDefault="00E251EC" w:rsidP="00E251EC">
            <w:pPr>
              <w:autoSpaceDE w:val="0"/>
              <w:autoSpaceDN w:val="0"/>
              <w:adjustRightInd w:val="0"/>
              <w:spacing w:after="0" w:line="240" w:lineRule="auto"/>
              <w:rPr>
                <w:rFonts w:cstheme="minorHAnsi"/>
              </w:rPr>
            </w:pPr>
            <w:r w:rsidRPr="003736AC">
              <w:rPr>
                <w:rFonts w:cstheme="minorHAnsi"/>
                <w:b/>
                <w:bCs/>
                <w:color w:val="0047BB"/>
              </w:rPr>
              <w:t>QUANTRON QHM BEV 44-400*</w:t>
            </w:r>
          </w:p>
        </w:tc>
        <w:tc>
          <w:tcPr>
            <w:tcW w:w="3118" w:type="dxa"/>
          </w:tcPr>
          <w:p w14:paraId="63364EC2" w14:textId="14663568" w:rsidR="00E251EC" w:rsidRPr="00A67CBA" w:rsidRDefault="00E251EC" w:rsidP="00E251EC">
            <w:pPr>
              <w:autoSpaceDE w:val="0"/>
              <w:autoSpaceDN w:val="0"/>
              <w:adjustRightInd w:val="0"/>
              <w:spacing w:after="0" w:line="240" w:lineRule="auto"/>
              <w:rPr>
                <w:rFonts w:cstheme="minorHAnsi"/>
              </w:rPr>
            </w:pPr>
            <w:r w:rsidRPr="00267D1C">
              <w:rPr>
                <w:rFonts w:cstheme="minorHAnsi"/>
                <w:b/>
                <w:color w:val="0047BB"/>
              </w:rPr>
              <w:t>QUANTRON QHM BEV 27-400*</w:t>
            </w:r>
          </w:p>
        </w:tc>
      </w:tr>
      <w:tr w:rsidR="00E251EC" w:rsidRPr="00A67CBA" w14:paraId="16311060" w14:textId="464BE589">
        <w:trPr>
          <w:trHeight w:val="1"/>
        </w:trPr>
        <w:tc>
          <w:tcPr>
            <w:tcW w:w="3114" w:type="dxa"/>
            <w:hideMark/>
          </w:tcPr>
          <w:p w14:paraId="73030DF4" w14:textId="77777777" w:rsidR="00E251EC" w:rsidRPr="00A67CBA" w:rsidRDefault="00E251EC" w:rsidP="00E251EC">
            <w:pPr>
              <w:autoSpaceDE w:val="0"/>
              <w:autoSpaceDN w:val="0"/>
              <w:adjustRightInd w:val="0"/>
              <w:spacing w:after="0" w:line="240" w:lineRule="auto"/>
              <w:rPr>
                <w:rFonts w:cstheme="minorHAnsi"/>
                <w:b/>
                <w:bCs/>
              </w:rPr>
            </w:pPr>
            <w:r w:rsidRPr="00194623">
              <w:rPr>
                <w:rFonts w:cstheme="minorHAnsi"/>
                <w:b/>
                <w:bCs/>
              </w:rPr>
              <w:t>Max</w:t>
            </w:r>
            <w:r>
              <w:rPr>
                <w:rFonts w:cstheme="minorHAnsi"/>
                <w:b/>
                <w:bCs/>
              </w:rPr>
              <w:t>.</w:t>
            </w:r>
            <w:r w:rsidRPr="00A67CBA">
              <w:rPr>
                <w:rFonts w:cstheme="minorHAnsi"/>
                <w:b/>
                <w:bCs/>
              </w:rPr>
              <w:t xml:space="preserve"> Motorleistung</w:t>
            </w:r>
          </w:p>
        </w:tc>
        <w:tc>
          <w:tcPr>
            <w:tcW w:w="3118" w:type="dxa"/>
            <w:vAlign w:val="center"/>
            <w:hideMark/>
          </w:tcPr>
          <w:p w14:paraId="573B3A1B" w14:textId="77777777" w:rsidR="00E251EC" w:rsidRPr="00A67CBA" w:rsidRDefault="00E251EC" w:rsidP="00E251EC">
            <w:pPr>
              <w:autoSpaceDE w:val="0"/>
              <w:autoSpaceDN w:val="0"/>
              <w:adjustRightInd w:val="0"/>
              <w:spacing w:after="0" w:line="240" w:lineRule="auto"/>
              <w:rPr>
                <w:rFonts w:cstheme="minorHAnsi"/>
              </w:rPr>
            </w:pPr>
            <w:r w:rsidRPr="00A67CBA">
              <w:rPr>
                <w:rFonts w:cstheme="minorHAnsi"/>
              </w:rPr>
              <w:t>375 kW</w:t>
            </w:r>
          </w:p>
        </w:tc>
        <w:tc>
          <w:tcPr>
            <w:tcW w:w="3118" w:type="dxa"/>
            <w:vAlign w:val="center"/>
          </w:tcPr>
          <w:p w14:paraId="68B19F7E" w14:textId="7A49B156" w:rsidR="00E251EC" w:rsidRPr="00A67CBA" w:rsidRDefault="00E251EC" w:rsidP="00E251EC">
            <w:pPr>
              <w:autoSpaceDE w:val="0"/>
              <w:autoSpaceDN w:val="0"/>
              <w:adjustRightInd w:val="0"/>
              <w:spacing w:after="0" w:line="240" w:lineRule="auto"/>
              <w:rPr>
                <w:rFonts w:cstheme="minorHAnsi"/>
              </w:rPr>
            </w:pPr>
            <w:r w:rsidRPr="00A67CBA">
              <w:rPr>
                <w:rFonts w:cstheme="minorHAnsi"/>
              </w:rPr>
              <w:t>375 kW</w:t>
            </w:r>
          </w:p>
        </w:tc>
      </w:tr>
      <w:tr w:rsidR="00E251EC" w:rsidRPr="00A67CBA" w14:paraId="2CCD24D5" w14:textId="7A08DB85">
        <w:trPr>
          <w:trHeight w:val="4"/>
        </w:trPr>
        <w:tc>
          <w:tcPr>
            <w:tcW w:w="3114" w:type="dxa"/>
            <w:hideMark/>
          </w:tcPr>
          <w:p w14:paraId="734E024C" w14:textId="77777777" w:rsidR="00E251EC" w:rsidRPr="00A67CBA" w:rsidRDefault="00E251EC" w:rsidP="00E251EC">
            <w:pPr>
              <w:autoSpaceDE w:val="0"/>
              <w:autoSpaceDN w:val="0"/>
              <w:adjustRightInd w:val="0"/>
              <w:spacing w:after="0" w:line="240" w:lineRule="auto"/>
              <w:rPr>
                <w:rFonts w:cstheme="minorHAnsi"/>
                <w:b/>
                <w:bCs/>
              </w:rPr>
            </w:pPr>
            <w:r w:rsidRPr="00194623">
              <w:rPr>
                <w:rFonts w:cstheme="minorHAnsi"/>
                <w:b/>
                <w:bCs/>
              </w:rPr>
              <w:t>Ma</w:t>
            </w:r>
            <w:r>
              <w:rPr>
                <w:rFonts w:cstheme="minorHAnsi"/>
                <w:b/>
                <w:bCs/>
              </w:rPr>
              <w:t xml:space="preserve">x. </w:t>
            </w:r>
            <w:r w:rsidRPr="00194623">
              <w:rPr>
                <w:rFonts w:cstheme="minorHAnsi"/>
                <w:b/>
                <w:bCs/>
              </w:rPr>
              <w:t>Reichweite</w:t>
            </w:r>
          </w:p>
        </w:tc>
        <w:tc>
          <w:tcPr>
            <w:tcW w:w="3118" w:type="dxa"/>
            <w:vAlign w:val="center"/>
            <w:hideMark/>
          </w:tcPr>
          <w:p w14:paraId="12BB0C22" w14:textId="77777777" w:rsidR="00E251EC" w:rsidRPr="00A67CBA" w:rsidRDefault="00E251EC" w:rsidP="00E251EC">
            <w:pPr>
              <w:autoSpaceDE w:val="0"/>
              <w:autoSpaceDN w:val="0"/>
              <w:adjustRightInd w:val="0"/>
              <w:spacing w:after="0" w:line="240" w:lineRule="auto"/>
              <w:rPr>
                <w:rFonts w:cstheme="minorHAnsi"/>
              </w:rPr>
            </w:pPr>
            <w:r w:rsidRPr="00A67CBA">
              <w:rPr>
                <w:rFonts w:cstheme="minorHAnsi"/>
              </w:rPr>
              <w:t>Bis zu 350 km</w:t>
            </w:r>
          </w:p>
        </w:tc>
        <w:tc>
          <w:tcPr>
            <w:tcW w:w="3118" w:type="dxa"/>
            <w:vAlign w:val="center"/>
          </w:tcPr>
          <w:p w14:paraId="40DA8307" w14:textId="782516D1" w:rsidR="00E251EC" w:rsidRPr="00A67CBA" w:rsidRDefault="00E251EC" w:rsidP="00E251EC">
            <w:pPr>
              <w:autoSpaceDE w:val="0"/>
              <w:autoSpaceDN w:val="0"/>
              <w:adjustRightInd w:val="0"/>
              <w:spacing w:after="0" w:line="240" w:lineRule="auto"/>
              <w:rPr>
                <w:rFonts w:cstheme="minorHAnsi"/>
              </w:rPr>
            </w:pPr>
            <w:r w:rsidRPr="00A67CBA">
              <w:rPr>
                <w:rFonts w:cstheme="minorHAnsi"/>
              </w:rPr>
              <w:t>Bis zu 350 km</w:t>
            </w:r>
          </w:p>
        </w:tc>
      </w:tr>
      <w:tr w:rsidR="00E251EC" w:rsidRPr="00A67CBA" w14:paraId="3D1C1AA1" w14:textId="54F33CF0">
        <w:trPr>
          <w:trHeight w:val="1"/>
        </w:trPr>
        <w:tc>
          <w:tcPr>
            <w:tcW w:w="3114" w:type="dxa"/>
            <w:hideMark/>
          </w:tcPr>
          <w:p w14:paraId="550AC6DC" w14:textId="77777777" w:rsidR="00E251EC" w:rsidRPr="00A67CBA" w:rsidRDefault="00E251EC" w:rsidP="00E251EC">
            <w:pPr>
              <w:autoSpaceDE w:val="0"/>
              <w:autoSpaceDN w:val="0"/>
              <w:adjustRightInd w:val="0"/>
              <w:spacing w:after="0" w:line="240" w:lineRule="auto"/>
              <w:rPr>
                <w:rFonts w:cstheme="minorHAnsi"/>
                <w:b/>
                <w:bCs/>
              </w:rPr>
            </w:pPr>
            <w:r w:rsidRPr="00A67CBA">
              <w:rPr>
                <w:rFonts w:cstheme="minorHAnsi"/>
                <w:b/>
                <w:bCs/>
              </w:rPr>
              <w:t>Batteriekapazität</w:t>
            </w:r>
          </w:p>
        </w:tc>
        <w:tc>
          <w:tcPr>
            <w:tcW w:w="3118" w:type="dxa"/>
            <w:vAlign w:val="center"/>
            <w:hideMark/>
          </w:tcPr>
          <w:p w14:paraId="197BCAB4" w14:textId="77777777" w:rsidR="00E251EC" w:rsidRPr="00A67CBA" w:rsidRDefault="00E251EC" w:rsidP="00E251EC">
            <w:pPr>
              <w:autoSpaceDE w:val="0"/>
              <w:autoSpaceDN w:val="0"/>
              <w:adjustRightInd w:val="0"/>
              <w:spacing w:after="0" w:line="240" w:lineRule="auto"/>
              <w:rPr>
                <w:rFonts w:cstheme="minorHAnsi"/>
              </w:rPr>
            </w:pPr>
            <w:r w:rsidRPr="00A67CBA">
              <w:rPr>
                <w:rFonts w:cstheme="minorHAnsi"/>
              </w:rPr>
              <w:t>280-392 kWh</w:t>
            </w:r>
          </w:p>
        </w:tc>
        <w:tc>
          <w:tcPr>
            <w:tcW w:w="3118" w:type="dxa"/>
            <w:vAlign w:val="center"/>
          </w:tcPr>
          <w:p w14:paraId="12759949" w14:textId="41E94364" w:rsidR="00E251EC" w:rsidRPr="00A67CBA" w:rsidRDefault="00E251EC" w:rsidP="00E251EC">
            <w:pPr>
              <w:autoSpaceDE w:val="0"/>
              <w:autoSpaceDN w:val="0"/>
              <w:adjustRightInd w:val="0"/>
              <w:spacing w:after="0" w:line="240" w:lineRule="auto"/>
              <w:rPr>
                <w:rFonts w:cstheme="minorHAnsi"/>
              </w:rPr>
            </w:pPr>
            <w:r w:rsidRPr="00A67CBA">
              <w:rPr>
                <w:rFonts w:cstheme="minorHAnsi"/>
              </w:rPr>
              <w:t>280-392 kWh</w:t>
            </w:r>
          </w:p>
        </w:tc>
      </w:tr>
      <w:tr w:rsidR="00E251EC" w:rsidRPr="00A67CBA" w14:paraId="221E25EC" w14:textId="31041A9A">
        <w:trPr>
          <w:trHeight w:val="4"/>
        </w:trPr>
        <w:tc>
          <w:tcPr>
            <w:tcW w:w="3114" w:type="dxa"/>
            <w:hideMark/>
          </w:tcPr>
          <w:p w14:paraId="7A367803" w14:textId="77777777" w:rsidR="00E251EC" w:rsidRPr="00A67CBA" w:rsidRDefault="00E251EC" w:rsidP="00E251EC">
            <w:pPr>
              <w:autoSpaceDE w:val="0"/>
              <w:autoSpaceDN w:val="0"/>
              <w:adjustRightInd w:val="0"/>
              <w:spacing w:after="0" w:line="240" w:lineRule="auto"/>
              <w:rPr>
                <w:rFonts w:cstheme="minorHAnsi"/>
                <w:b/>
                <w:bCs/>
              </w:rPr>
            </w:pPr>
            <w:r w:rsidRPr="00A67CBA">
              <w:rPr>
                <w:rFonts w:cstheme="minorHAnsi"/>
                <w:b/>
                <w:bCs/>
              </w:rPr>
              <w:t>Ladezeit</w:t>
            </w:r>
          </w:p>
        </w:tc>
        <w:tc>
          <w:tcPr>
            <w:tcW w:w="3118" w:type="dxa"/>
            <w:vAlign w:val="center"/>
            <w:hideMark/>
          </w:tcPr>
          <w:p w14:paraId="16A71004" w14:textId="77777777" w:rsidR="00E251EC" w:rsidRPr="00A67CBA" w:rsidRDefault="00E251EC" w:rsidP="00E251EC">
            <w:pPr>
              <w:autoSpaceDE w:val="0"/>
              <w:autoSpaceDN w:val="0"/>
              <w:adjustRightInd w:val="0"/>
              <w:spacing w:after="0" w:line="240" w:lineRule="auto"/>
              <w:rPr>
                <w:rFonts w:cstheme="minorHAnsi"/>
              </w:rPr>
            </w:pPr>
            <w:r w:rsidRPr="00A67CBA">
              <w:rPr>
                <w:rFonts w:cstheme="minorHAnsi"/>
              </w:rPr>
              <w:t>20-80 % SOC in weniger als 1</w:t>
            </w:r>
            <w:r>
              <w:rPr>
                <w:rFonts w:cstheme="minorHAnsi"/>
              </w:rPr>
              <w:t xml:space="preserve"> </w:t>
            </w:r>
            <w:r w:rsidRPr="00A67CBA">
              <w:rPr>
                <w:rFonts w:cstheme="minorHAnsi"/>
              </w:rPr>
              <w:t>h</w:t>
            </w:r>
          </w:p>
        </w:tc>
        <w:tc>
          <w:tcPr>
            <w:tcW w:w="3118" w:type="dxa"/>
            <w:vAlign w:val="center"/>
          </w:tcPr>
          <w:p w14:paraId="057D41F7" w14:textId="2CCB29B9" w:rsidR="00E251EC" w:rsidRPr="00A67CBA" w:rsidRDefault="00E251EC" w:rsidP="00E251EC">
            <w:pPr>
              <w:autoSpaceDE w:val="0"/>
              <w:autoSpaceDN w:val="0"/>
              <w:adjustRightInd w:val="0"/>
              <w:spacing w:after="0" w:line="240" w:lineRule="auto"/>
              <w:rPr>
                <w:rFonts w:cstheme="minorHAnsi"/>
              </w:rPr>
            </w:pPr>
            <w:r w:rsidRPr="00A67CBA">
              <w:rPr>
                <w:rFonts w:cstheme="minorHAnsi"/>
              </w:rPr>
              <w:t>20-80 % SOC in weniger als 1</w:t>
            </w:r>
            <w:r>
              <w:rPr>
                <w:rFonts w:cstheme="minorHAnsi"/>
              </w:rPr>
              <w:t xml:space="preserve"> </w:t>
            </w:r>
            <w:r w:rsidRPr="00A67CBA">
              <w:rPr>
                <w:rFonts w:cstheme="minorHAnsi"/>
              </w:rPr>
              <w:t>h</w:t>
            </w:r>
          </w:p>
        </w:tc>
      </w:tr>
      <w:tr w:rsidR="00E251EC" w:rsidRPr="00A67CBA" w14:paraId="134D54A9" w14:textId="227B71D4">
        <w:trPr>
          <w:trHeight w:val="4"/>
        </w:trPr>
        <w:tc>
          <w:tcPr>
            <w:tcW w:w="3114" w:type="dxa"/>
          </w:tcPr>
          <w:p w14:paraId="79A1989C" w14:textId="77777777" w:rsidR="00E251EC" w:rsidRPr="00A67CBA" w:rsidRDefault="00E251EC" w:rsidP="00E251EC">
            <w:pPr>
              <w:autoSpaceDE w:val="0"/>
              <w:autoSpaceDN w:val="0"/>
              <w:adjustRightInd w:val="0"/>
              <w:spacing w:after="0" w:line="240" w:lineRule="auto"/>
              <w:rPr>
                <w:rFonts w:cstheme="minorHAnsi"/>
                <w:b/>
                <w:bCs/>
              </w:rPr>
            </w:pPr>
            <w:r w:rsidRPr="00A67CBA">
              <w:rPr>
                <w:rFonts w:cstheme="minorHAnsi"/>
                <w:b/>
                <w:bCs/>
              </w:rPr>
              <w:t>Max. Ladeleistung</w:t>
            </w:r>
          </w:p>
        </w:tc>
        <w:tc>
          <w:tcPr>
            <w:tcW w:w="3118" w:type="dxa"/>
            <w:vAlign w:val="center"/>
          </w:tcPr>
          <w:p w14:paraId="47689C9F" w14:textId="77777777" w:rsidR="00E251EC" w:rsidRPr="00A67CBA" w:rsidRDefault="00E251EC" w:rsidP="00E251EC">
            <w:pPr>
              <w:autoSpaceDE w:val="0"/>
              <w:autoSpaceDN w:val="0"/>
              <w:adjustRightInd w:val="0"/>
              <w:spacing w:after="0" w:line="240" w:lineRule="auto"/>
              <w:rPr>
                <w:rFonts w:cstheme="minorHAnsi"/>
              </w:rPr>
            </w:pPr>
            <w:r w:rsidRPr="00A67CBA">
              <w:rPr>
                <w:rFonts w:cstheme="minorHAnsi"/>
              </w:rPr>
              <w:t>350 kW DC</w:t>
            </w:r>
          </w:p>
        </w:tc>
        <w:tc>
          <w:tcPr>
            <w:tcW w:w="3118" w:type="dxa"/>
            <w:vAlign w:val="center"/>
          </w:tcPr>
          <w:p w14:paraId="74CA8BEF" w14:textId="090C623F" w:rsidR="00E251EC" w:rsidRPr="00A67CBA" w:rsidRDefault="00E251EC" w:rsidP="00E251EC">
            <w:pPr>
              <w:autoSpaceDE w:val="0"/>
              <w:autoSpaceDN w:val="0"/>
              <w:adjustRightInd w:val="0"/>
              <w:spacing w:after="0" w:line="240" w:lineRule="auto"/>
              <w:rPr>
                <w:rFonts w:cstheme="minorHAnsi"/>
              </w:rPr>
            </w:pPr>
            <w:r w:rsidRPr="00177E11">
              <w:rPr>
                <w:rFonts w:cstheme="minorHAnsi"/>
              </w:rPr>
              <w:t>350 kW</w:t>
            </w:r>
            <w:r>
              <w:rPr>
                <w:rFonts w:cstheme="minorHAnsi"/>
              </w:rPr>
              <w:t xml:space="preserve"> DC</w:t>
            </w:r>
          </w:p>
        </w:tc>
      </w:tr>
      <w:tr w:rsidR="00E251EC" w:rsidRPr="00A67CBA" w14:paraId="5CF19E39" w14:textId="60E9387F">
        <w:trPr>
          <w:trHeight w:val="1"/>
        </w:trPr>
        <w:tc>
          <w:tcPr>
            <w:tcW w:w="3114" w:type="dxa"/>
            <w:hideMark/>
          </w:tcPr>
          <w:p w14:paraId="18B58328" w14:textId="77777777" w:rsidR="00E251EC" w:rsidRPr="00A67CBA" w:rsidRDefault="00E251EC" w:rsidP="00E251EC">
            <w:pPr>
              <w:autoSpaceDE w:val="0"/>
              <w:autoSpaceDN w:val="0"/>
              <w:adjustRightInd w:val="0"/>
              <w:spacing w:after="0" w:line="240" w:lineRule="auto"/>
              <w:rPr>
                <w:rFonts w:cstheme="minorHAnsi"/>
                <w:b/>
                <w:bCs/>
              </w:rPr>
            </w:pPr>
            <w:r w:rsidRPr="00A67CBA">
              <w:rPr>
                <w:rFonts w:cstheme="minorHAnsi"/>
                <w:b/>
                <w:bCs/>
              </w:rPr>
              <w:t>Min. Radstand</w:t>
            </w:r>
          </w:p>
        </w:tc>
        <w:tc>
          <w:tcPr>
            <w:tcW w:w="3118" w:type="dxa"/>
            <w:vAlign w:val="center"/>
            <w:hideMark/>
          </w:tcPr>
          <w:p w14:paraId="06754C02" w14:textId="77777777" w:rsidR="00E251EC" w:rsidRPr="00A67CBA" w:rsidRDefault="00E251EC" w:rsidP="00E251EC">
            <w:pPr>
              <w:autoSpaceDE w:val="0"/>
              <w:autoSpaceDN w:val="0"/>
              <w:adjustRightInd w:val="0"/>
              <w:spacing w:after="0" w:line="240" w:lineRule="auto"/>
              <w:rPr>
                <w:rFonts w:cstheme="minorHAnsi"/>
              </w:rPr>
            </w:pPr>
            <w:r w:rsidRPr="00A67CBA">
              <w:rPr>
                <w:rFonts w:cstheme="minorHAnsi"/>
              </w:rPr>
              <w:t>3600 mm</w:t>
            </w:r>
          </w:p>
        </w:tc>
        <w:tc>
          <w:tcPr>
            <w:tcW w:w="3118" w:type="dxa"/>
            <w:vAlign w:val="center"/>
          </w:tcPr>
          <w:p w14:paraId="6E29564C" w14:textId="3B21BBAA" w:rsidR="00E251EC" w:rsidRPr="00A67CBA" w:rsidRDefault="00E251EC" w:rsidP="00E251EC">
            <w:pPr>
              <w:autoSpaceDE w:val="0"/>
              <w:autoSpaceDN w:val="0"/>
              <w:adjustRightInd w:val="0"/>
              <w:spacing w:after="0" w:line="240" w:lineRule="auto"/>
              <w:rPr>
                <w:rFonts w:cstheme="minorHAnsi"/>
              </w:rPr>
            </w:pPr>
            <w:r w:rsidRPr="00177E11">
              <w:rPr>
                <w:rFonts w:cstheme="minorHAnsi"/>
              </w:rPr>
              <w:t>3600 mm</w:t>
            </w:r>
          </w:p>
        </w:tc>
      </w:tr>
      <w:tr w:rsidR="00E251EC" w:rsidRPr="00A67CBA" w14:paraId="70D65E16" w14:textId="12031A22" w:rsidTr="00E251EC">
        <w:trPr>
          <w:trHeight w:val="1"/>
        </w:trPr>
        <w:tc>
          <w:tcPr>
            <w:tcW w:w="3114" w:type="dxa"/>
            <w:hideMark/>
          </w:tcPr>
          <w:p w14:paraId="3C4FE512" w14:textId="77777777" w:rsidR="00E251EC" w:rsidRPr="00A67CBA" w:rsidRDefault="00E251EC" w:rsidP="00E251EC">
            <w:pPr>
              <w:autoSpaceDE w:val="0"/>
              <w:autoSpaceDN w:val="0"/>
              <w:adjustRightInd w:val="0"/>
              <w:spacing w:after="0" w:line="240" w:lineRule="auto"/>
              <w:rPr>
                <w:rFonts w:cstheme="minorHAnsi"/>
                <w:b/>
                <w:bCs/>
              </w:rPr>
            </w:pPr>
            <w:r w:rsidRPr="00A67CBA">
              <w:rPr>
                <w:rFonts w:cstheme="minorHAnsi"/>
                <w:b/>
                <w:bCs/>
              </w:rPr>
              <w:t>Achsenkonfiguration</w:t>
            </w:r>
          </w:p>
        </w:tc>
        <w:tc>
          <w:tcPr>
            <w:tcW w:w="3118" w:type="dxa"/>
            <w:hideMark/>
          </w:tcPr>
          <w:p w14:paraId="6013C0C0" w14:textId="77777777" w:rsidR="00E251EC" w:rsidRPr="00A67CBA" w:rsidRDefault="00E251EC" w:rsidP="00E251EC">
            <w:pPr>
              <w:autoSpaceDE w:val="0"/>
              <w:autoSpaceDN w:val="0"/>
              <w:adjustRightInd w:val="0"/>
              <w:spacing w:after="0" w:line="240" w:lineRule="auto"/>
              <w:rPr>
                <w:rFonts w:cstheme="minorHAnsi"/>
              </w:rPr>
            </w:pPr>
            <w:r w:rsidRPr="00A67CBA">
              <w:rPr>
                <w:rFonts w:cstheme="minorHAnsi"/>
              </w:rPr>
              <w:t>4x2, 6x2</w:t>
            </w:r>
          </w:p>
        </w:tc>
        <w:tc>
          <w:tcPr>
            <w:tcW w:w="3118" w:type="dxa"/>
          </w:tcPr>
          <w:p w14:paraId="1C0E3B48" w14:textId="18294C1E" w:rsidR="00E251EC" w:rsidRPr="00A67CBA" w:rsidRDefault="00E251EC" w:rsidP="00E251EC">
            <w:pPr>
              <w:autoSpaceDE w:val="0"/>
              <w:autoSpaceDN w:val="0"/>
              <w:adjustRightInd w:val="0"/>
              <w:spacing w:after="0" w:line="240" w:lineRule="auto"/>
              <w:rPr>
                <w:rFonts w:cstheme="minorHAnsi"/>
              </w:rPr>
            </w:pPr>
            <w:r w:rsidRPr="00177E11">
              <w:rPr>
                <w:rFonts w:cstheme="minorHAnsi"/>
              </w:rPr>
              <w:t>4x2, 6x2</w:t>
            </w:r>
          </w:p>
        </w:tc>
      </w:tr>
    </w:tbl>
    <w:p w14:paraId="43DB0B78" w14:textId="77777777" w:rsidR="00796B50" w:rsidRDefault="00796B50" w:rsidP="00FD5A97">
      <w:pPr>
        <w:rPr>
          <w:rFonts w:cstheme="minorHAnsi"/>
          <w:bCs/>
        </w:rPr>
      </w:pPr>
    </w:p>
    <w:p w14:paraId="4BF16ADE" w14:textId="4928DD97" w:rsidR="00753474" w:rsidRPr="00753474" w:rsidRDefault="00753474" w:rsidP="00753474">
      <w:pPr>
        <w:spacing w:after="0" w:line="240" w:lineRule="auto"/>
        <w:ind w:right="597"/>
        <w:rPr>
          <w:rFonts w:cstheme="minorHAnsi"/>
          <w:sz w:val="14"/>
          <w:szCs w:val="14"/>
        </w:rPr>
      </w:pPr>
      <w:r>
        <w:rPr>
          <w:rFonts w:cstheme="minorHAnsi"/>
          <w:sz w:val="14"/>
          <w:szCs w:val="14"/>
        </w:rPr>
        <w:t>*</w:t>
      </w:r>
      <w:r w:rsidRPr="007C0DD9">
        <w:rPr>
          <w:rFonts w:cstheme="minorHAnsi"/>
          <w:sz w:val="14"/>
          <w:szCs w:val="14"/>
        </w:rPr>
        <w:t xml:space="preserve">Alle Angaben beziehen sich auf den aktuellen Stand </w:t>
      </w:r>
      <w:r w:rsidRPr="00C628D3">
        <w:rPr>
          <w:rFonts w:cstheme="minorHAnsi"/>
          <w:sz w:val="14"/>
          <w:szCs w:val="14"/>
        </w:rPr>
        <w:t>September 2022. Die Quantron AG behält sich das Recht vor, die technischen Merkmale und Spezifikationen seiner Produkte ohne vorherige Ankündigung zu ändern. Die Reichweite wurden nach WLTP simuliert und variiert</w:t>
      </w:r>
      <w:r>
        <w:rPr>
          <w:rFonts w:cstheme="minorHAnsi"/>
          <w:sz w:val="14"/>
          <w:szCs w:val="14"/>
        </w:rPr>
        <w:t>,</w:t>
      </w:r>
      <w:r w:rsidRPr="00C628D3">
        <w:rPr>
          <w:rFonts w:cstheme="minorHAnsi"/>
          <w:sz w:val="14"/>
          <w:szCs w:val="14"/>
        </w:rPr>
        <w:t xml:space="preserve"> soweit diese für die jeweilige Variante verfügbar und anwendbar ist. Die </w:t>
      </w:r>
      <w:r>
        <w:rPr>
          <w:rFonts w:cstheme="minorHAnsi"/>
          <w:sz w:val="14"/>
          <w:szCs w:val="14"/>
        </w:rPr>
        <w:t xml:space="preserve">Angaben sind jeweils </w:t>
      </w:r>
      <w:r w:rsidRPr="007C0DD9">
        <w:rPr>
          <w:rFonts w:cstheme="minorHAnsi"/>
          <w:sz w:val="14"/>
          <w:szCs w:val="14"/>
        </w:rPr>
        <w:t>abhängig von Zuladung und Fahrprofil.</w:t>
      </w:r>
    </w:p>
    <w:p w14:paraId="7FC9D925" w14:textId="2E2F6D7B" w:rsidR="00371FBE" w:rsidRDefault="00371FBE" w:rsidP="00361671">
      <w:pPr>
        <w:spacing w:line="240" w:lineRule="auto"/>
        <w:ind w:right="595"/>
      </w:pPr>
      <w:r>
        <w:rPr>
          <w:rStyle w:val="Fett"/>
          <w:rFonts w:ascii="Calibri" w:hAnsi="Calibri" w:cs="Calibri"/>
        </w:rPr>
        <w:lastRenderedPageBreak/>
        <w:t>Bilder (Zum Download bitte auf die Bildvorschau klicken)</w:t>
      </w:r>
    </w:p>
    <w:p w14:paraId="052088EB" w14:textId="65C98A41" w:rsidR="00B80B74" w:rsidRDefault="00B80B74" w:rsidP="00361671">
      <w:pPr>
        <w:spacing w:line="240" w:lineRule="auto"/>
        <w:ind w:right="595"/>
      </w:pPr>
      <w:r>
        <w:t>Die Originalbilder</w:t>
      </w:r>
      <w:r w:rsidRPr="04064243">
        <w:t xml:space="preserve"> in niedriger und hoher Auflösung finden Sie hier:</w:t>
      </w:r>
      <w:r>
        <w:t xml:space="preserve"> </w:t>
      </w:r>
      <w:hyperlink r:id="rId10">
        <w:r w:rsidRPr="04064243">
          <w:rPr>
            <w:rStyle w:val="Hyperlink"/>
          </w:rPr>
          <w:t>Pressemitteilungen der Quantron AG</w:t>
        </w:r>
      </w:hyperlink>
      <w:r>
        <w:t xml:space="preserve"> (https://www.quantron.net/q-news/pr-berichte/) </w:t>
      </w:r>
    </w:p>
    <w:p w14:paraId="2B79455C" w14:textId="77777777" w:rsidR="00663FBB" w:rsidRPr="00B22998" w:rsidRDefault="00663FBB" w:rsidP="00361671">
      <w:pPr>
        <w:spacing w:line="240" w:lineRule="auto"/>
        <w:ind w:right="595"/>
        <w:rPr>
          <w:rFonts w:cstheme="minorHAnsi"/>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389"/>
      </w:tblGrid>
      <w:tr w:rsidR="006224C0" w14:paraId="5AC93B37" w14:textId="77777777" w:rsidTr="004962EE">
        <w:tc>
          <w:tcPr>
            <w:tcW w:w="4957" w:type="dxa"/>
          </w:tcPr>
          <w:p w14:paraId="4C99F792" w14:textId="5B33AC2E" w:rsidR="006224C0" w:rsidRDefault="00D333E2" w:rsidP="00F63FEA">
            <w:pPr>
              <w:spacing w:line="324" w:lineRule="auto"/>
              <w:ind w:right="597"/>
              <w:rPr>
                <w:rFonts w:cstheme="minorHAnsi"/>
                <w:bCs/>
              </w:rPr>
            </w:pPr>
            <w:r>
              <w:rPr>
                <w:rFonts w:cstheme="minorHAnsi"/>
                <w:bCs/>
                <w:noProof/>
              </w:rPr>
              <w:drawing>
                <wp:inline distT="0" distB="0" distL="0" distR="0" wp14:anchorId="1AA3B9C9" wp14:editId="14D1FF41">
                  <wp:extent cx="2520000" cy="14112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411200"/>
                          </a:xfrm>
                          <a:prstGeom prst="rect">
                            <a:avLst/>
                          </a:prstGeom>
                          <a:noFill/>
                          <a:ln>
                            <a:noFill/>
                          </a:ln>
                        </pic:spPr>
                      </pic:pic>
                    </a:graphicData>
                  </a:graphic>
                </wp:inline>
              </w:drawing>
            </w:r>
          </w:p>
          <w:p w14:paraId="2FB3306E" w14:textId="421D028C" w:rsidR="00991B66" w:rsidRPr="00B9652D" w:rsidRDefault="00B9652D" w:rsidP="00B9652D">
            <w:pPr>
              <w:spacing w:line="324" w:lineRule="auto"/>
              <w:ind w:right="597"/>
              <w:rPr>
                <w:rFonts w:cstheme="minorHAnsi"/>
                <w:bCs/>
              </w:rPr>
            </w:pPr>
            <w:r w:rsidRPr="00EC2428">
              <w:rPr>
                <w:rFonts w:cstheme="minorHAnsi"/>
              </w:rPr>
              <w:t>QUANTRON QHM FCEV</w:t>
            </w:r>
          </w:p>
        </w:tc>
        <w:tc>
          <w:tcPr>
            <w:tcW w:w="4389" w:type="dxa"/>
          </w:tcPr>
          <w:p w14:paraId="0763766E" w14:textId="77777777" w:rsidR="006224C0" w:rsidRDefault="00B9652D" w:rsidP="00991B66">
            <w:pPr>
              <w:spacing w:line="324" w:lineRule="auto"/>
              <w:rPr>
                <w:rFonts w:cstheme="minorHAnsi"/>
                <w:bCs/>
              </w:rPr>
            </w:pPr>
            <w:r>
              <w:rPr>
                <w:rFonts w:cstheme="minorHAnsi"/>
                <w:bCs/>
                <w:noProof/>
              </w:rPr>
              <w:drawing>
                <wp:inline distT="0" distB="0" distL="0" distR="0" wp14:anchorId="06EAFDB8" wp14:editId="573A2F10">
                  <wp:extent cx="2520000" cy="1695600"/>
                  <wp:effectExtent l="0" t="0" r="0" b="0"/>
                  <wp:docPr id="9" name="Grafik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1695600"/>
                          </a:xfrm>
                          <a:prstGeom prst="rect">
                            <a:avLst/>
                          </a:prstGeom>
                          <a:noFill/>
                          <a:ln>
                            <a:noFill/>
                          </a:ln>
                        </pic:spPr>
                      </pic:pic>
                    </a:graphicData>
                  </a:graphic>
                </wp:inline>
              </w:drawing>
            </w:r>
          </w:p>
          <w:p w14:paraId="0855B339" w14:textId="3D9F77B3" w:rsidR="00B9652D" w:rsidRDefault="00B9652D" w:rsidP="00B9652D">
            <w:pPr>
              <w:spacing w:line="324" w:lineRule="auto"/>
              <w:ind w:right="597"/>
              <w:rPr>
                <w:rFonts w:cstheme="minorHAnsi"/>
                <w:bCs/>
              </w:rPr>
            </w:pPr>
            <w:r w:rsidRPr="00EC2428">
              <w:rPr>
                <w:rFonts w:cstheme="minorHAnsi"/>
              </w:rPr>
              <w:t>QUANTRON QHM FCEV</w:t>
            </w:r>
          </w:p>
        </w:tc>
      </w:tr>
      <w:tr w:rsidR="001507CC" w14:paraId="71BFC24D" w14:textId="77777777" w:rsidTr="004962EE">
        <w:tc>
          <w:tcPr>
            <w:tcW w:w="4957" w:type="dxa"/>
          </w:tcPr>
          <w:p w14:paraId="3619D044" w14:textId="65323528" w:rsidR="001507CC" w:rsidRDefault="001507CC" w:rsidP="00F63FEA">
            <w:pPr>
              <w:spacing w:line="324" w:lineRule="auto"/>
              <w:ind w:right="597"/>
              <w:rPr>
                <w:rFonts w:cstheme="minorHAnsi"/>
                <w:bCs/>
                <w:noProof/>
              </w:rPr>
            </w:pPr>
          </w:p>
          <w:p w14:paraId="527923F5" w14:textId="77777777" w:rsidR="00991B66" w:rsidRDefault="00AE2BC2" w:rsidP="00F63FEA">
            <w:pPr>
              <w:spacing w:line="324" w:lineRule="auto"/>
              <w:ind w:right="597"/>
              <w:rPr>
                <w:rFonts w:cstheme="minorHAnsi"/>
                <w:bCs/>
                <w:noProof/>
              </w:rPr>
            </w:pPr>
            <w:r>
              <w:rPr>
                <w:rFonts w:cstheme="minorHAnsi"/>
                <w:bCs/>
                <w:noProof/>
              </w:rPr>
              <w:drawing>
                <wp:inline distT="0" distB="0" distL="0" distR="0" wp14:anchorId="550FEF4A" wp14:editId="40C27C72">
                  <wp:extent cx="2520000" cy="1418400"/>
                  <wp:effectExtent l="0" t="0" r="0" b="0"/>
                  <wp:docPr id="7" name="Grafik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000" cy="1418400"/>
                          </a:xfrm>
                          <a:prstGeom prst="rect">
                            <a:avLst/>
                          </a:prstGeom>
                          <a:noFill/>
                          <a:ln>
                            <a:noFill/>
                          </a:ln>
                        </pic:spPr>
                      </pic:pic>
                    </a:graphicData>
                  </a:graphic>
                </wp:inline>
              </w:drawing>
            </w:r>
          </w:p>
          <w:p w14:paraId="0C6556AF" w14:textId="77777777" w:rsidR="006825B2" w:rsidRDefault="006825B2" w:rsidP="006825B2">
            <w:pPr>
              <w:spacing w:line="324" w:lineRule="auto"/>
              <w:rPr>
                <w:rFonts w:cstheme="minorHAnsi"/>
              </w:rPr>
            </w:pPr>
            <w:r w:rsidRPr="006224C0">
              <w:rPr>
                <w:rFonts w:cstheme="minorHAnsi"/>
              </w:rPr>
              <w:t>Beim QUANTRON QHM FCEV sind sämtliche Komponenten innerhalb der Rahmenstruktur integriert</w:t>
            </w:r>
          </w:p>
          <w:p w14:paraId="107CA6C0" w14:textId="7EB3CAD4" w:rsidR="006825B2" w:rsidRDefault="006825B2" w:rsidP="00F63FEA">
            <w:pPr>
              <w:spacing w:line="324" w:lineRule="auto"/>
              <w:ind w:right="597"/>
              <w:rPr>
                <w:rFonts w:cstheme="minorHAnsi"/>
                <w:bCs/>
                <w:noProof/>
              </w:rPr>
            </w:pPr>
          </w:p>
        </w:tc>
        <w:tc>
          <w:tcPr>
            <w:tcW w:w="4389" w:type="dxa"/>
          </w:tcPr>
          <w:p w14:paraId="7A69D900" w14:textId="4AB00EE4" w:rsidR="0014004F" w:rsidRDefault="0014004F" w:rsidP="006224C0">
            <w:pPr>
              <w:spacing w:line="324" w:lineRule="auto"/>
              <w:rPr>
                <w:rFonts w:cstheme="minorHAnsi"/>
              </w:rPr>
            </w:pPr>
          </w:p>
          <w:p w14:paraId="0222D467" w14:textId="77777777" w:rsidR="0014004F" w:rsidRDefault="0014004F" w:rsidP="006224C0">
            <w:pPr>
              <w:spacing w:line="324" w:lineRule="auto"/>
              <w:rPr>
                <w:rFonts w:cstheme="minorHAnsi"/>
              </w:rPr>
            </w:pPr>
            <w:r>
              <w:rPr>
                <w:rFonts w:cstheme="minorHAnsi"/>
                <w:bCs/>
                <w:noProof/>
              </w:rPr>
              <w:drawing>
                <wp:inline distT="0" distB="0" distL="0" distR="0" wp14:anchorId="070C92FB" wp14:editId="002D0406">
                  <wp:extent cx="2520000" cy="1681200"/>
                  <wp:effectExtent l="0" t="0" r="0" b="0"/>
                  <wp:docPr id="11" name="Grafik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0000" cy="1681200"/>
                          </a:xfrm>
                          <a:prstGeom prst="rect">
                            <a:avLst/>
                          </a:prstGeom>
                          <a:noFill/>
                          <a:ln>
                            <a:noFill/>
                          </a:ln>
                        </pic:spPr>
                      </pic:pic>
                    </a:graphicData>
                  </a:graphic>
                </wp:inline>
              </w:drawing>
            </w:r>
          </w:p>
          <w:p w14:paraId="1915BB51" w14:textId="43BEAB45" w:rsidR="001507CC" w:rsidRPr="006224C0" w:rsidRDefault="0014004F" w:rsidP="006224C0">
            <w:pPr>
              <w:spacing w:line="324" w:lineRule="auto"/>
              <w:rPr>
                <w:rFonts w:cstheme="minorHAnsi"/>
              </w:rPr>
            </w:pPr>
            <w:r w:rsidRPr="00EC2428">
              <w:rPr>
                <w:rFonts w:cstheme="minorHAnsi"/>
              </w:rPr>
              <w:t>QUANTRON QHM FCEV</w:t>
            </w:r>
            <w:r>
              <w:rPr>
                <w:rFonts w:cstheme="minorHAnsi"/>
              </w:rPr>
              <w:t xml:space="preserve"> - Innenraum</w:t>
            </w:r>
            <w:r w:rsidR="00991B66">
              <w:rPr>
                <w:rFonts w:cstheme="minorHAnsi"/>
              </w:rPr>
              <w:br/>
            </w:r>
          </w:p>
        </w:tc>
      </w:tr>
      <w:tr w:rsidR="00A94E53" w:rsidRPr="00EC2428" w14:paraId="4F9F6086" w14:textId="77777777" w:rsidTr="004962EE">
        <w:tc>
          <w:tcPr>
            <w:tcW w:w="4957" w:type="dxa"/>
          </w:tcPr>
          <w:p w14:paraId="4DAAC1EB" w14:textId="77777777" w:rsidR="00A94E53" w:rsidRDefault="00E252D1" w:rsidP="00F63FEA">
            <w:pPr>
              <w:spacing w:line="324" w:lineRule="auto"/>
              <w:ind w:right="597"/>
              <w:rPr>
                <w:rFonts w:cstheme="minorHAnsi"/>
                <w:bCs/>
                <w:noProof/>
              </w:rPr>
            </w:pPr>
            <w:r>
              <w:rPr>
                <w:rFonts w:cstheme="minorHAnsi"/>
                <w:bCs/>
                <w:noProof/>
              </w:rPr>
              <w:lastRenderedPageBreak/>
              <w:drawing>
                <wp:inline distT="0" distB="0" distL="0" distR="0" wp14:anchorId="1ABFE608" wp14:editId="5A000F27">
                  <wp:extent cx="2520000" cy="1263600"/>
                  <wp:effectExtent l="0" t="0" r="0" b="0"/>
                  <wp:docPr id="8" name="Grafik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0000" cy="1263600"/>
                          </a:xfrm>
                          <a:prstGeom prst="rect">
                            <a:avLst/>
                          </a:prstGeom>
                          <a:noFill/>
                          <a:ln>
                            <a:noFill/>
                          </a:ln>
                        </pic:spPr>
                      </pic:pic>
                    </a:graphicData>
                  </a:graphic>
                </wp:inline>
              </w:drawing>
            </w:r>
          </w:p>
          <w:p w14:paraId="6C73E954" w14:textId="7ED074AA" w:rsidR="00991B66" w:rsidRDefault="00991B66" w:rsidP="00F63FEA">
            <w:pPr>
              <w:spacing w:line="324" w:lineRule="auto"/>
              <w:ind w:right="597"/>
              <w:rPr>
                <w:rFonts w:cstheme="minorHAnsi"/>
                <w:bCs/>
                <w:noProof/>
              </w:rPr>
            </w:pPr>
            <w:r w:rsidRPr="00EC2428">
              <w:rPr>
                <w:rFonts w:cstheme="minorHAnsi"/>
              </w:rPr>
              <w:t>QUANTRON QHM FCEV – optional e</w:t>
            </w:r>
            <w:r>
              <w:rPr>
                <w:rFonts w:cstheme="minorHAnsi"/>
              </w:rPr>
              <w:t>rhältliches Aeropaket</w:t>
            </w:r>
            <w:r w:rsidR="006825B2">
              <w:rPr>
                <w:rFonts w:cstheme="minorHAnsi"/>
              </w:rPr>
              <w:t xml:space="preserve"> für 10 % mehr Reichweite</w:t>
            </w:r>
          </w:p>
        </w:tc>
        <w:tc>
          <w:tcPr>
            <w:tcW w:w="4389" w:type="dxa"/>
          </w:tcPr>
          <w:p w14:paraId="2060FC7A" w14:textId="005F554C" w:rsidR="00A94E53" w:rsidRDefault="0014004F" w:rsidP="006224C0">
            <w:pPr>
              <w:spacing w:line="324" w:lineRule="auto"/>
              <w:rPr>
                <w:rFonts w:cstheme="minorHAnsi"/>
                <w:bCs/>
                <w:noProof/>
              </w:rPr>
            </w:pPr>
            <w:r>
              <w:rPr>
                <w:rFonts w:cstheme="minorHAnsi"/>
                <w:bCs/>
                <w:noProof/>
              </w:rPr>
              <w:t xml:space="preserve"> </w:t>
            </w:r>
            <w:r w:rsidR="00AE2BC2">
              <w:rPr>
                <w:rFonts w:cstheme="minorHAnsi"/>
                <w:bCs/>
                <w:noProof/>
              </w:rPr>
              <w:drawing>
                <wp:inline distT="0" distB="0" distL="0" distR="0" wp14:anchorId="6458056C" wp14:editId="4F52351E">
                  <wp:extent cx="2520000" cy="1681200"/>
                  <wp:effectExtent l="0" t="0" r="0" b="0"/>
                  <wp:docPr id="6" name="Grafik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0000" cy="1681200"/>
                          </a:xfrm>
                          <a:prstGeom prst="rect">
                            <a:avLst/>
                          </a:prstGeom>
                          <a:noFill/>
                          <a:ln>
                            <a:noFill/>
                          </a:ln>
                        </pic:spPr>
                      </pic:pic>
                    </a:graphicData>
                  </a:graphic>
                </wp:inline>
              </w:drawing>
            </w:r>
          </w:p>
          <w:p w14:paraId="35ACB2F9" w14:textId="0D47B72C" w:rsidR="006825B2" w:rsidRPr="00CB3484" w:rsidRDefault="006825B2" w:rsidP="006825B2">
            <w:pPr>
              <w:spacing w:line="324" w:lineRule="auto"/>
              <w:ind w:right="597"/>
              <w:rPr>
                <w:rFonts w:cstheme="minorHAnsi"/>
              </w:rPr>
            </w:pPr>
            <w:r>
              <w:rPr>
                <w:rFonts w:cstheme="minorHAnsi"/>
              </w:rPr>
              <w:t xml:space="preserve">Der QUANTRON QHM FCEV </w:t>
            </w:r>
            <w:r w:rsidR="00CB3484">
              <w:rPr>
                <w:rFonts w:cstheme="minorHAnsi"/>
              </w:rPr>
              <w:t xml:space="preserve">mit Aeropaket </w:t>
            </w:r>
            <w:r>
              <w:rPr>
                <w:rFonts w:cstheme="minorHAnsi"/>
              </w:rPr>
              <w:t>im Einsatz</w:t>
            </w:r>
          </w:p>
          <w:p w14:paraId="35CB343A" w14:textId="5799A0B6" w:rsidR="003C7DCC" w:rsidRPr="00EC2428" w:rsidRDefault="003C7DCC" w:rsidP="006825B2">
            <w:pPr>
              <w:spacing w:line="324" w:lineRule="auto"/>
              <w:rPr>
                <w:rFonts w:cstheme="minorHAnsi"/>
              </w:rPr>
            </w:pPr>
          </w:p>
        </w:tc>
      </w:tr>
    </w:tbl>
    <w:p w14:paraId="1A62DDDC" w14:textId="642DCB2C" w:rsidR="002B5EC2" w:rsidRDefault="00D9519C" w:rsidP="006E5B83">
      <w:pPr>
        <w:spacing w:after="120"/>
        <w:rPr>
          <w:b/>
          <w:bCs/>
          <w:i/>
          <w:iCs/>
          <w:sz w:val="20"/>
          <w:szCs w:val="20"/>
        </w:rPr>
      </w:pPr>
      <w:r>
        <w:rPr>
          <w:noProof/>
        </w:rPr>
        <w:drawing>
          <wp:inline distT="0" distB="0" distL="0" distR="0" wp14:anchorId="5FFA197A" wp14:editId="04C181E5">
            <wp:extent cx="2628900" cy="1478826"/>
            <wp:effectExtent l="0" t="0" r="0" b="7620"/>
            <wp:docPr id="14" name="Grafik 1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35894" cy="1482760"/>
                    </a:xfrm>
                    <a:prstGeom prst="rect">
                      <a:avLst/>
                    </a:prstGeom>
                    <a:noFill/>
                    <a:ln>
                      <a:noFill/>
                    </a:ln>
                  </pic:spPr>
                </pic:pic>
              </a:graphicData>
            </a:graphic>
          </wp:inline>
        </w:drawing>
      </w:r>
    </w:p>
    <w:p w14:paraId="4D8A1784" w14:textId="28CD754D" w:rsidR="002B5EC2" w:rsidRDefault="002B5EC2" w:rsidP="006E5B83">
      <w:pPr>
        <w:spacing w:after="120"/>
        <w:rPr>
          <w:rFonts w:cstheme="minorHAnsi"/>
        </w:rPr>
      </w:pPr>
      <w:r w:rsidRPr="002B5EC2">
        <w:rPr>
          <w:rFonts w:cstheme="minorHAnsi"/>
        </w:rPr>
        <w:t>Das QUANTRON</w:t>
      </w:r>
      <w:r w:rsidR="00C62627">
        <w:rPr>
          <w:rFonts w:cstheme="minorHAnsi"/>
        </w:rPr>
        <w:t>-</w:t>
      </w:r>
      <w:r w:rsidRPr="002B5EC2">
        <w:rPr>
          <w:rFonts w:cstheme="minorHAnsi"/>
        </w:rPr>
        <w:t>Portfolio</w:t>
      </w:r>
    </w:p>
    <w:p w14:paraId="41DA26A7" w14:textId="77777777" w:rsidR="00663FBB" w:rsidRPr="002B5EC2" w:rsidRDefault="00663FBB" w:rsidP="006E5B83">
      <w:pPr>
        <w:spacing w:after="120"/>
        <w:rPr>
          <w:rFonts w:cstheme="minorHAnsi"/>
        </w:rPr>
      </w:pPr>
    </w:p>
    <w:p w14:paraId="36100C15" w14:textId="5621D6D3" w:rsidR="006E5B83" w:rsidRDefault="006E5B83" w:rsidP="006E5B83">
      <w:pPr>
        <w:spacing w:after="120"/>
        <w:rPr>
          <w:b/>
          <w:bCs/>
          <w:i/>
          <w:iCs/>
          <w:strike/>
          <w:sz w:val="20"/>
          <w:szCs w:val="20"/>
        </w:rPr>
      </w:pPr>
      <w:r>
        <w:rPr>
          <w:b/>
          <w:bCs/>
          <w:i/>
          <w:iCs/>
          <w:sz w:val="20"/>
          <w:szCs w:val="20"/>
        </w:rPr>
        <w:t>Über die Quantron AG</w:t>
      </w:r>
    </w:p>
    <w:p w14:paraId="12CB81A0" w14:textId="7C1873BE" w:rsidR="003A1EF1" w:rsidRPr="00B36750" w:rsidRDefault="006E5B83" w:rsidP="00F1476A">
      <w:pPr>
        <w:rPr>
          <w:i/>
          <w:iCs/>
          <w:sz w:val="20"/>
          <w:szCs w:val="20"/>
          <w:lang w:val="en-US"/>
        </w:rPr>
      </w:pPr>
      <w:r>
        <w:rPr>
          <w:i/>
          <w:iCs/>
          <w:sz w:val="20"/>
          <w:szCs w:val="20"/>
        </w:rPr>
        <w:t xml:space="preserve">Die </w:t>
      </w:r>
      <w:r w:rsidRPr="00F22F9A">
        <w:rPr>
          <w:b/>
          <w:i/>
          <w:iCs/>
          <w:sz w:val="20"/>
          <w:szCs w:val="20"/>
        </w:rPr>
        <w:t xml:space="preserve">Quantron AG </w:t>
      </w:r>
      <w:r w:rsidR="000A6B0D" w:rsidRPr="00F22F9A">
        <w:rPr>
          <w:b/>
          <w:i/>
          <w:iCs/>
          <w:sz w:val="20"/>
          <w:szCs w:val="20"/>
        </w:rPr>
        <w:t xml:space="preserve">ist </w:t>
      </w:r>
      <w:r w:rsidR="00BA360A" w:rsidRPr="00F22F9A">
        <w:rPr>
          <w:b/>
          <w:i/>
          <w:iCs/>
          <w:sz w:val="20"/>
          <w:szCs w:val="20"/>
        </w:rPr>
        <w:t xml:space="preserve">Plattformanbieter und Spezialist </w:t>
      </w:r>
      <w:r w:rsidR="00A64865" w:rsidRPr="00F22F9A">
        <w:rPr>
          <w:b/>
          <w:i/>
          <w:iCs/>
          <w:sz w:val="20"/>
          <w:szCs w:val="20"/>
        </w:rPr>
        <w:t xml:space="preserve">für </w:t>
      </w:r>
      <w:r w:rsidRPr="00F22F9A">
        <w:rPr>
          <w:b/>
          <w:i/>
          <w:iCs/>
          <w:sz w:val="20"/>
          <w:szCs w:val="20"/>
        </w:rPr>
        <w:t xml:space="preserve">nachhaltige </w:t>
      </w:r>
      <w:r w:rsidR="000474BA" w:rsidRPr="00F22F9A">
        <w:rPr>
          <w:b/>
          <w:i/>
          <w:iCs/>
          <w:sz w:val="20"/>
          <w:szCs w:val="20"/>
        </w:rPr>
        <w:t>Mobilität</w:t>
      </w:r>
      <w:r w:rsidR="000474BA">
        <w:rPr>
          <w:i/>
          <w:iCs/>
          <w:sz w:val="20"/>
          <w:szCs w:val="20"/>
        </w:rPr>
        <w:t xml:space="preserve"> für Menschen und Güter; insbesondere für </w:t>
      </w:r>
      <w:r w:rsidR="006757D8">
        <w:rPr>
          <w:i/>
          <w:iCs/>
          <w:sz w:val="20"/>
          <w:szCs w:val="20"/>
        </w:rPr>
        <w:t xml:space="preserve">LKW, Busse und Transporter </w:t>
      </w:r>
      <w:r w:rsidR="00A64865">
        <w:rPr>
          <w:i/>
          <w:iCs/>
          <w:sz w:val="20"/>
          <w:szCs w:val="20"/>
        </w:rPr>
        <w:t xml:space="preserve">mit </w:t>
      </w:r>
      <w:r w:rsidR="005808FF">
        <w:rPr>
          <w:i/>
          <w:iCs/>
          <w:sz w:val="20"/>
          <w:szCs w:val="20"/>
        </w:rPr>
        <w:t>vollelektrisch</w:t>
      </w:r>
      <w:r w:rsidR="00A64865">
        <w:rPr>
          <w:i/>
          <w:iCs/>
          <w:sz w:val="20"/>
          <w:szCs w:val="20"/>
        </w:rPr>
        <w:t>e</w:t>
      </w:r>
      <w:r w:rsidR="00A8284C">
        <w:rPr>
          <w:i/>
          <w:iCs/>
          <w:sz w:val="20"/>
          <w:szCs w:val="20"/>
        </w:rPr>
        <w:t>m Antriebsstrang</w:t>
      </w:r>
      <w:r w:rsidR="005808FF">
        <w:rPr>
          <w:i/>
          <w:iCs/>
          <w:sz w:val="20"/>
          <w:szCs w:val="20"/>
        </w:rPr>
        <w:t xml:space="preserve"> </w:t>
      </w:r>
      <w:r>
        <w:rPr>
          <w:i/>
          <w:iCs/>
          <w:sz w:val="20"/>
          <w:szCs w:val="20"/>
        </w:rPr>
        <w:t xml:space="preserve">und </w:t>
      </w:r>
      <w:r w:rsidR="009D26F8">
        <w:rPr>
          <w:i/>
          <w:iCs/>
          <w:sz w:val="20"/>
          <w:szCs w:val="20"/>
        </w:rPr>
        <w:t>H</w:t>
      </w:r>
      <w:r w:rsidR="009D26F8" w:rsidRPr="009D26F8">
        <w:rPr>
          <w:i/>
          <w:iCs/>
          <w:sz w:val="20"/>
          <w:szCs w:val="20"/>
          <w:vertAlign w:val="subscript"/>
        </w:rPr>
        <w:t>2</w:t>
      </w:r>
      <w:r w:rsidR="009D26F8">
        <w:rPr>
          <w:i/>
          <w:iCs/>
          <w:sz w:val="20"/>
          <w:szCs w:val="20"/>
        </w:rPr>
        <w:t>-Brennstoffzellen</w:t>
      </w:r>
      <w:r w:rsidR="00A64865">
        <w:rPr>
          <w:i/>
          <w:iCs/>
          <w:sz w:val="20"/>
          <w:szCs w:val="20"/>
        </w:rPr>
        <w:t>technologie</w:t>
      </w:r>
      <w:r>
        <w:rPr>
          <w:i/>
          <w:iCs/>
          <w:sz w:val="20"/>
          <w:szCs w:val="20"/>
        </w:rPr>
        <w:t>. Das deutsche Unternehmen aus dem bayerischen Augsburg verbindet als Hightech-Spinoff der renommierten Haller KG über 140 Jahre Nutzfahrzeugerfahrung mit modernstem E-Mobilitäts-Knowhow</w:t>
      </w:r>
      <w:r w:rsidR="001C0796">
        <w:rPr>
          <w:i/>
          <w:iCs/>
          <w:sz w:val="20"/>
          <w:szCs w:val="20"/>
        </w:rPr>
        <w:t xml:space="preserve"> und positioniert sich </w:t>
      </w:r>
      <w:r w:rsidR="00C75C07">
        <w:rPr>
          <w:i/>
          <w:iCs/>
          <w:sz w:val="20"/>
          <w:szCs w:val="20"/>
        </w:rPr>
        <w:t xml:space="preserve">global </w:t>
      </w:r>
      <w:r w:rsidR="001C0796">
        <w:rPr>
          <w:i/>
          <w:iCs/>
          <w:sz w:val="20"/>
          <w:szCs w:val="20"/>
        </w:rPr>
        <w:t>als Partner bestehender OEMs</w:t>
      </w:r>
      <w:r>
        <w:rPr>
          <w:i/>
          <w:iCs/>
          <w:sz w:val="20"/>
          <w:szCs w:val="20"/>
        </w:rPr>
        <w:t xml:space="preserve">. </w:t>
      </w:r>
      <w:r w:rsidR="00F1476A">
        <w:rPr>
          <w:i/>
          <w:iCs/>
          <w:sz w:val="20"/>
          <w:szCs w:val="20"/>
        </w:rPr>
        <w:br/>
      </w:r>
      <w:r>
        <w:rPr>
          <w:i/>
          <w:iCs/>
          <w:sz w:val="20"/>
          <w:szCs w:val="20"/>
        </w:rPr>
        <w:t xml:space="preserve">Mit dem </w:t>
      </w:r>
      <w:r w:rsidRPr="00C75C07">
        <w:rPr>
          <w:b/>
          <w:i/>
          <w:iCs/>
          <w:sz w:val="20"/>
          <w:szCs w:val="20"/>
        </w:rPr>
        <w:t>Quantron-as-a-Service Ecosystem</w:t>
      </w:r>
      <w:r>
        <w:rPr>
          <w:i/>
          <w:iCs/>
          <w:sz w:val="20"/>
          <w:szCs w:val="20"/>
        </w:rPr>
        <w:t xml:space="preserve"> (QaaS) bietet QUANTRON ein Gesamtkonzept, das alle Facetten der Mobilitätswertschöpfungskette umfasst: </w:t>
      </w:r>
      <w:r w:rsidRPr="00C75C07">
        <w:rPr>
          <w:b/>
          <w:i/>
          <w:iCs/>
          <w:sz w:val="20"/>
          <w:szCs w:val="20"/>
        </w:rPr>
        <w:t>QUANTRON INSIDE</w:t>
      </w:r>
      <w:r>
        <w:rPr>
          <w:i/>
          <w:iCs/>
          <w:sz w:val="20"/>
          <w:szCs w:val="20"/>
        </w:rPr>
        <w:t xml:space="preserve"> beinhaltet ein breites Angebot an sowohl Neufahrzeugen als auch Umrüstungen für Bestands- und Gebrauchtfahrzeuge von Diesel- auf batterie- und wasserstoffelektrische Antriebe mit der hoch-innovativen </w:t>
      </w:r>
      <w:r w:rsidRPr="00C75C07">
        <w:rPr>
          <w:b/>
          <w:i/>
          <w:iCs/>
          <w:sz w:val="20"/>
          <w:szCs w:val="20"/>
        </w:rPr>
        <w:t xml:space="preserve">QUANTRON </w:t>
      </w:r>
      <w:r w:rsidR="00A8284C" w:rsidRPr="00C75C07">
        <w:rPr>
          <w:b/>
          <w:i/>
          <w:iCs/>
          <w:sz w:val="20"/>
          <w:szCs w:val="20"/>
        </w:rPr>
        <w:t>INSIDE</w:t>
      </w:r>
      <w:r w:rsidR="00A8284C">
        <w:rPr>
          <w:i/>
          <w:iCs/>
          <w:sz w:val="20"/>
          <w:szCs w:val="20"/>
        </w:rPr>
        <w:t xml:space="preserve"> </w:t>
      </w:r>
      <w:r>
        <w:rPr>
          <w:i/>
          <w:iCs/>
          <w:sz w:val="20"/>
          <w:szCs w:val="20"/>
        </w:rPr>
        <w:t xml:space="preserve">Technologie. Zudem vertreibt die Quantron AG Batterien und integrierte maßgeschneiderte Elektrifizierungskonzepte. </w:t>
      </w:r>
      <w:r w:rsidRPr="00C75C07">
        <w:rPr>
          <w:b/>
          <w:i/>
          <w:iCs/>
          <w:sz w:val="20"/>
          <w:szCs w:val="20"/>
        </w:rPr>
        <w:t>QUANTRON CUSTOMER CARE</w:t>
      </w:r>
      <w:r>
        <w:rPr>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w:t>
      </w:r>
      <w:r>
        <w:rPr>
          <w:i/>
          <w:iCs/>
          <w:sz w:val="20"/>
          <w:szCs w:val="20"/>
        </w:rPr>
        <w:lastRenderedPageBreak/>
        <w:t xml:space="preserve">außerdem Schulungen und Workshops angeboten. </w:t>
      </w:r>
      <w:r w:rsidRPr="00C75C07">
        <w:rPr>
          <w:b/>
          <w:i/>
          <w:iCs/>
          <w:sz w:val="20"/>
          <w:szCs w:val="20"/>
        </w:rPr>
        <w:t>QUANTRON ENERGY</w:t>
      </w:r>
      <w:r>
        <w:rPr>
          <w:i/>
          <w:iCs/>
          <w:sz w:val="20"/>
          <w:szCs w:val="20"/>
        </w:rPr>
        <w:t xml:space="preserve"> wird zukünftig als Plattform die Produktion von grünem Wasserstoff und Strom realisieren. Dafür hat sich die Quantron AG mit starken globalen Partnern zusammengeschlossen. Diese Hydrogen Alliance bildet gleichzeitig auch einen wichtigen Baustein für </w:t>
      </w:r>
      <w:r w:rsidRPr="00C75C07">
        <w:rPr>
          <w:b/>
          <w:i/>
          <w:iCs/>
          <w:sz w:val="20"/>
          <w:szCs w:val="20"/>
        </w:rPr>
        <w:t>QUANRTON POWER STATION</w:t>
      </w:r>
      <w:r>
        <w:rPr>
          <w:i/>
          <w:iCs/>
          <w:sz w:val="20"/>
          <w:szCs w:val="20"/>
        </w:rPr>
        <w:t>, die Versorgung von Fahrzeugen mit der notwendigen grünen Lade- und H2-Tank-Infrastruktur.</w:t>
      </w:r>
      <w:r w:rsidR="00F1476A">
        <w:rPr>
          <w:i/>
          <w:iCs/>
          <w:sz w:val="20"/>
          <w:szCs w:val="20"/>
        </w:rPr>
        <w:br/>
      </w:r>
      <w:r>
        <w:rPr>
          <w:i/>
          <w:iCs/>
          <w:sz w:val="20"/>
          <w:szCs w:val="20"/>
        </w:rPr>
        <w:t xml:space="preserve">QUANTRON steht für die Kernwerte </w:t>
      </w:r>
      <w:r w:rsidRPr="00C75C07">
        <w:rPr>
          <w:b/>
          <w:i/>
          <w:iCs/>
          <w:sz w:val="20"/>
          <w:szCs w:val="20"/>
        </w:rPr>
        <w:t>RELIABLE, ENERGETIC, BRAVE</w:t>
      </w:r>
      <w:r>
        <w:rPr>
          <w:i/>
          <w:iCs/>
          <w:sz w:val="20"/>
          <w:szCs w:val="20"/>
        </w:rPr>
        <w:t xml:space="preserve"> (zuverlässig, energetisch, mutig). Das Expertenteam des Innovationstreibers für E-Mobilität leistet einen wesentlichen Beitrag zum nachhaltig umweltfreundlichen Personen- und Gütertransport. Weitere Informationen unter </w:t>
      </w:r>
      <w:hyperlink r:id="rId25" w:history="1">
        <w:r>
          <w:rPr>
            <w:rStyle w:val="Hyperlink"/>
            <w:i/>
            <w:iCs/>
            <w:sz w:val="20"/>
            <w:szCs w:val="20"/>
          </w:rPr>
          <w:t>www.quantron.net</w:t>
        </w:r>
      </w:hyperlink>
      <w:r w:rsidR="00F1476A">
        <w:rPr>
          <w:i/>
          <w:iCs/>
          <w:sz w:val="20"/>
          <w:szCs w:val="20"/>
        </w:rPr>
        <w:br/>
      </w:r>
      <w:r>
        <w:rPr>
          <w:i/>
          <w:iCs/>
          <w:sz w:val="20"/>
          <w:szCs w:val="20"/>
        </w:rPr>
        <w:t xml:space="preserve">Besuchen Sie die Quantron AG auf unseren Social Media Kanälen bei </w:t>
      </w:r>
      <w:hyperlink r:id="rId26" w:history="1">
        <w:r>
          <w:rPr>
            <w:rStyle w:val="Hyperlink"/>
            <w:i/>
            <w:iCs/>
            <w:sz w:val="20"/>
            <w:szCs w:val="20"/>
          </w:rPr>
          <w:t>LinkedIn</w:t>
        </w:r>
      </w:hyperlink>
      <w:r>
        <w:rPr>
          <w:i/>
          <w:iCs/>
          <w:sz w:val="20"/>
          <w:szCs w:val="20"/>
        </w:rPr>
        <w:t xml:space="preserve"> und </w:t>
      </w:r>
      <w:hyperlink r:id="rId27" w:history="1">
        <w:r>
          <w:rPr>
            <w:rStyle w:val="Hyperlink"/>
            <w:i/>
            <w:iCs/>
            <w:sz w:val="20"/>
            <w:szCs w:val="20"/>
          </w:rPr>
          <w:t>YouTube</w:t>
        </w:r>
      </w:hyperlink>
      <w:r>
        <w:rPr>
          <w:i/>
          <w:iCs/>
          <w:sz w:val="20"/>
          <w:szCs w:val="20"/>
        </w:rPr>
        <w:t xml:space="preserve">. </w:t>
      </w:r>
      <w:r w:rsidR="003A1EF1" w:rsidRPr="006B68AB">
        <w:rPr>
          <w:i/>
          <w:iCs/>
          <w:sz w:val="20"/>
          <w:szCs w:val="20"/>
          <w:lang w:val="en-US"/>
        </w:rPr>
        <w:t xml:space="preserve">Weitere Informationen unter </w:t>
      </w:r>
      <w:hyperlink r:id="rId28" w:history="1">
        <w:r w:rsidR="003A1EF1" w:rsidRPr="006B68AB">
          <w:rPr>
            <w:rStyle w:val="Hyperlink"/>
            <w:i/>
            <w:iCs/>
            <w:sz w:val="20"/>
            <w:szCs w:val="20"/>
            <w:lang w:val="en-US"/>
          </w:rPr>
          <w:t>www.quantron.net</w:t>
        </w:r>
      </w:hyperlink>
    </w:p>
    <w:p w14:paraId="243880DD" w14:textId="77777777" w:rsidR="003A1EF1" w:rsidRPr="0060054B" w:rsidRDefault="003A1EF1" w:rsidP="003A1EF1">
      <w:pPr>
        <w:spacing w:after="0" w:line="324" w:lineRule="auto"/>
        <w:rPr>
          <w:rFonts w:cstheme="minorHAnsi"/>
          <w:b/>
          <w:lang w:val="en-US"/>
        </w:rPr>
      </w:pPr>
      <w:r w:rsidRPr="0060054B">
        <w:rPr>
          <w:b/>
          <w:bCs/>
          <w:lang w:val="en-US"/>
        </w:rPr>
        <w:t xml:space="preserve">Ansprechpartner: </w:t>
      </w:r>
    </w:p>
    <w:p w14:paraId="7FBD863F" w14:textId="43A32696" w:rsidR="003A1EF1" w:rsidRPr="00450DCF" w:rsidRDefault="003A1EF1" w:rsidP="003A1EF1">
      <w:pPr>
        <w:contextualSpacing/>
        <w:rPr>
          <w:lang w:val="en-US"/>
        </w:rPr>
      </w:pPr>
      <w:r>
        <w:rPr>
          <w:lang w:val="en-US"/>
        </w:rPr>
        <w:t>Martin Lischka, Head of Marketing &amp; Communications Quantron AG,</w:t>
      </w:r>
      <w:r w:rsidR="00450DCF">
        <w:rPr>
          <w:lang w:val="en-US"/>
        </w:rPr>
        <w:t xml:space="preserve"> </w:t>
      </w:r>
      <w:hyperlink r:id="rId29" w:history="1">
        <w:r w:rsidR="00450DCF" w:rsidRPr="00821772">
          <w:rPr>
            <w:rStyle w:val="Hyperlink"/>
            <w:lang w:val="en-US"/>
          </w:rPr>
          <w:t>m.lischka@quantron.net</w:t>
        </w:r>
      </w:hyperlink>
    </w:p>
    <w:p w14:paraId="50BE927F" w14:textId="0257D3E1" w:rsidR="0026162A" w:rsidRPr="00F1476A" w:rsidRDefault="003A1EF1" w:rsidP="00A63031">
      <w:pPr>
        <w:rPr>
          <w:lang w:val="fr-BE"/>
        </w:rPr>
      </w:pPr>
      <w:r w:rsidRPr="00D573E1">
        <w:rPr>
          <w:lang w:val="fr-BE"/>
        </w:rPr>
        <w:t xml:space="preserve">Stephanie Miller, Marketing &amp; Communications Quantron AG, </w:t>
      </w:r>
      <w:hyperlink r:id="rId30" w:history="1">
        <w:r w:rsidR="00450DCF" w:rsidRPr="00821772">
          <w:rPr>
            <w:rStyle w:val="Hyperlink"/>
            <w:lang w:val="fr-BE"/>
          </w:rPr>
          <w:t>presse@quantron.net</w:t>
        </w:r>
      </w:hyperlink>
    </w:p>
    <w:sectPr w:rsidR="0026162A" w:rsidRPr="00F1476A" w:rsidSect="007E6A5C">
      <w:headerReference w:type="default" r:id="rId31"/>
      <w:footerReference w:type="default" r:id="rId3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0360" w14:textId="77777777" w:rsidR="007304A9" w:rsidRDefault="007304A9" w:rsidP="00AE78E4">
      <w:pPr>
        <w:spacing w:after="0" w:line="240" w:lineRule="auto"/>
      </w:pPr>
      <w:r>
        <w:separator/>
      </w:r>
    </w:p>
  </w:endnote>
  <w:endnote w:type="continuationSeparator" w:id="0">
    <w:p w14:paraId="3086823C" w14:textId="77777777" w:rsidR="007304A9" w:rsidRDefault="007304A9" w:rsidP="00AE78E4">
      <w:pPr>
        <w:spacing w:after="0" w:line="240" w:lineRule="auto"/>
      </w:pPr>
      <w:r>
        <w:continuationSeparator/>
      </w:r>
    </w:p>
  </w:endnote>
  <w:endnote w:type="continuationNotice" w:id="1">
    <w:p w14:paraId="157D6CED" w14:textId="77777777" w:rsidR="007304A9" w:rsidRDefault="00730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746F6C">
                            <w:fldChar w:fldCharType="begin"/>
                          </w:r>
                          <w:r w:rsidR="00746F6C">
                            <w:instrText>NUMPAGES  \* Arabic  \* MERGEFORMAT</w:instrText>
                          </w:r>
                          <w:r w:rsidR="00746F6C">
                            <w:fldChar w:fldCharType="separate"/>
                          </w:r>
                          <w:r w:rsidR="00851F4C" w:rsidRPr="00851F4C">
                            <w:rPr>
                              <w:bCs/>
                              <w:noProof/>
                              <w:color w:val="0971B7"/>
                              <w:sz w:val="16"/>
                              <w:szCs w:val="16"/>
                            </w:rPr>
                            <w:t>2</w:t>
                          </w:r>
                          <w:r w:rsidR="00746F6C">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746F6C">
                      <w:fldChar w:fldCharType="begin"/>
                    </w:r>
                    <w:r w:rsidR="00746F6C">
                      <w:instrText>NUMPAGES  \* Arabic  \* MERGEFORMAT</w:instrText>
                    </w:r>
                    <w:r w:rsidR="00746F6C">
                      <w:fldChar w:fldCharType="separate"/>
                    </w:r>
                    <w:r w:rsidR="00851F4C" w:rsidRPr="00851F4C">
                      <w:rPr>
                        <w:bCs/>
                        <w:noProof/>
                        <w:color w:val="0971B7"/>
                        <w:sz w:val="16"/>
                        <w:szCs w:val="16"/>
                      </w:rPr>
                      <w:t>2</w:t>
                    </w:r>
                    <w:r w:rsidR="00746F6C">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F836" w14:textId="77777777" w:rsidR="007304A9" w:rsidRDefault="007304A9" w:rsidP="00AE78E4">
      <w:pPr>
        <w:spacing w:after="0" w:line="240" w:lineRule="auto"/>
      </w:pPr>
      <w:r>
        <w:separator/>
      </w:r>
    </w:p>
  </w:footnote>
  <w:footnote w:type="continuationSeparator" w:id="0">
    <w:p w14:paraId="7C8E556F" w14:textId="77777777" w:rsidR="007304A9" w:rsidRDefault="007304A9" w:rsidP="00AE78E4">
      <w:pPr>
        <w:spacing w:after="0" w:line="240" w:lineRule="auto"/>
      </w:pPr>
      <w:r>
        <w:continuationSeparator/>
      </w:r>
    </w:p>
  </w:footnote>
  <w:footnote w:type="continuationNotice" w:id="1">
    <w:p w14:paraId="245EDBCB" w14:textId="77777777" w:rsidR="007304A9" w:rsidRDefault="007304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3B7D6239" w:rsidR="00AE78E4" w:rsidRPr="009F6532" w:rsidRDefault="007947E4" w:rsidP="001A0965">
    <w:pPr>
      <w:pStyle w:val="Kopfzeile"/>
      <w:rPr>
        <w:lang w:val="en-US"/>
      </w:rPr>
    </w:pPr>
    <w:r>
      <w:rPr>
        <w:noProof/>
      </w:rPr>
      <w:drawing>
        <wp:anchor distT="0" distB="0" distL="114300" distR="114300" simplePos="0" relativeHeight="251659265" behindDoc="0" locked="0" layoutInCell="1" allowOverlap="1" wp14:anchorId="1D6C7F5D" wp14:editId="396A606B">
          <wp:simplePos x="0" y="0"/>
          <wp:positionH relativeFrom="column">
            <wp:posOffset>-975995</wp:posOffset>
          </wp:positionH>
          <wp:positionV relativeFrom="paragraph">
            <wp:posOffset>-154940</wp:posOffset>
          </wp:positionV>
          <wp:extent cx="7616190" cy="1290320"/>
          <wp:effectExtent l="0" t="0" r="3810" b="5080"/>
          <wp:wrapSquare wrapText="bothSides"/>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190" cy="1290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389E"/>
    <w:multiLevelType w:val="hybridMultilevel"/>
    <w:tmpl w:val="7E667D50"/>
    <w:lvl w:ilvl="0" w:tplc="E780B9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29453A"/>
    <w:multiLevelType w:val="hybridMultilevel"/>
    <w:tmpl w:val="BCCA399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B0887"/>
    <w:multiLevelType w:val="hybridMultilevel"/>
    <w:tmpl w:val="B442F302"/>
    <w:lvl w:ilvl="0" w:tplc="0407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4072166F"/>
    <w:multiLevelType w:val="hybridMultilevel"/>
    <w:tmpl w:val="FFCCD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7B0FAD"/>
    <w:multiLevelType w:val="hybridMultilevel"/>
    <w:tmpl w:val="051ED0F0"/>
    <w:lvl w:ilvl="0" w:tplc="91166F3E">
      <w:start w:val="550"/>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617C1BAD"/>
    <w:multiLevelType w:val="hybridMultilevel"/>
    <w:tmpl w:val="CEAA0102"/>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7" w15:restartNumberingAfterBreak="0">
    <w:nsid w:val="7096031B"/>
    <w:multiLevelType w:val="hybridMultilevel"/>
    <w:tmpl w:val="78E09E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8"/>
  </w:num>
  <w:num w:numId="2" w16cid:durableId="1015308933">
    <w:abstractNumId w:val="7"/>
  </w:num>
  <w:num w:numId="3" w16cid:durableId="93600552">
    <w:abstractNumId w:val="2"/>
  </w:num>
  <w:num w:numId="4" w16cid:durableId="1571384081">
    <w:abstractNumId w:val="4"/>
  </w:num>
  <w:num w:numId="5" w16cid:durableId="805049276">
    <w:abstractNumId w:val="5"/>
  </w:num>
  <w:num w:numId="6" w16cid:durableId="1150055904">
    <w:abstractNumId w:val="3"/>
  </w:num>
  <w:num w:numId="7" w16cid:durableId="1415470095">
    <w:abstractNumId w:val="0"/>
  </w:num>
  <w:num w:numId="8" w16cid:durableId="1951819708">
    <w:abstractNumId w:val="1"/>
  </w:num>
  <w:num w:numId="9" w16cid:durableId="1342124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1610"/>
    <w:rsid w:val="000018FD"/>
    <w:rsid w:val="000044D3"/>
    <w:rsid w:val="000117DC"/>
    <w:rsid w:val="00012A70"/>
    <w:rsid w:val="00014B64"/>
    <w:rsid w:val="00022FB1"/>
    <w:rsid w:val="00025DED"/>
    <w:rsid w:val="000320E7"/>
    <w:rsid w:val="000322E8"/>
    <w:rsid w:val="0003259C"/>
    <w:rsid w:val="00035E63"/>
    <w:rsid w:val="00035FFF"/>
    <w:rsid w:val="00036817"/>
    <w:rsid w:val="000371E5"/>
    <w:rsid w:val="00037A9C"/>
    <w:rsid w:val="00037CFD"/>
    <w:rsid w:val="0004014A"/>
    <w:rsid w:val="00041F78"/>
    <w:rsid w:val="00044496"/>
    <w:rsid w:val="0004516B"/>
    <w:rsid w:val="00047241"/>
    <w:rsid w:val="000474BA"/>
    <w:rsid w:val="00050F9E"/>
    <w:rsid w:val="000529CC"/>
    <w:rsid w:val="00054DE0"/>
    <w:rsid w:val="00061D2D"/>
    <w:rsid w:val="0006258D"/>
    <w:rsid w:val="000630B1"/>
    <w:rsid w:val="00063BE7"/>
    <w:rsid w:val="00064F35"/>
    <w:rsid w:val="00066CE7"/>
    <w:rsid w:val="000677E0"/>
    <w:rsid w:val="000819ED"/>
    <w:rsid w:val="00081C91"/>
    <w:rsid w:val="00085D65"/>
    <w:rsid w:val="000928E5"/>
    <w:rsid w:val="000944FD"/>
    <w:rsid w:val="000973A0"/>
    <w:rsid w:val="000A1DD8"/>
    <w:rsid w:val="000A2279"/>
    <w:rsid w:val="000A5F86"/>
    <w:rsid w:val="000A679D"/>
    <w:rsid w:val="000A6B0D"/>
    <w:rsid w:val="000B09B5"/>
    <w:rsid w:val="000B6210"/>
    <w:rsid w:val="000C0D38"/>
    <w:rsid w:val="000C0FCD"/>
    <w:rsid w:val="000C4393"/>
    <w:rsid w:val="000C575A"/>
    <w:rsid w:val="000C582C"/>
    <w:rsid w:val="000C6948"/>
    <w:rsid w:val="000C71F9"/>
    <w:rsid w:val="000C763B"/>
    <w:rsid w:val="000D7B72"/>
    <w:rsid w:val="000D7D88"/>
    <w:rsid w:val="000E031C"/>
    <w:rsid w:val="000E360E"/>
    <w:rsid w:val="000E4C04"/>
    <w:rsid w:val="000E54D0"/>
    <w:rsid w:val="000E5C3F"/>
    <w:rsid w:val="000F0DBD"/>
    <w:rsid w:val="000F1F88"/>
    <w:rsid w:val="000F55E6"/>
    <w:rsid w:val="000F6F08"/>
    <w:rsid w:val="001002D1"/>
    <w:rsid w:val="001043DA"/>
    <w:rsid w:val="0010505E"/>
    <w:rsid w:val="00107584"/>
    <w:rsid w:val="001076AD"/>
    <w:rsid w:val="001103F9"/>
    <w:rsid w:val="001139F2"/>
    <w:rsid w:val="00113E8F"/>
    <w:rsid w:val="00124F8C"/>
    <w:rsid w:val="0013018C"/>
    <w:rsid w:val="00133E71"/>
    <w:rsid w:val="00135A04"/>
    <w:rsid w:val="00137568"/>
    <w:rsid w:val="00137966"/>
    <w:rsid w:val="00137A8B"/>
    <w:rsid w:val="0014004F"/>
    <w:rsid w:val="00141100"/>
    <w:rsid w:val="001417A9"/>
    <w:rsid w:val="00141AFB"/>
    <w:rsid w:val="00141D43"/>
    <w:rsid w:val="00141F7B"/>
    <w:rsid w:val="0014240D"/>
    <w:rsid w:val="00147921"/>
    <w:rsid w:val="001507CC"/>
    <w:rsid w:val="00150D45"/>
    <w:rsid w:val="001536A5"/>
    <w:rsid w:val="00154823"/>
    <w:rsid w:val="00155510"/>
    <w:rsid w:val="001572AF"/>
    <w:rsid w:val="0016309B"/>
    <w:rsid w:val="00163EA3"/>
    <w:rsid w:val="00165474"/>
    <w:rsid w:val="00165BE8"/>
    <w:rsid w:val="00166FA0"/>
    <w:rsid w:val="00171334"/>
    <w:rsid w:val="00175725"/>
    <w:rsid w:val="00176CC9"/>
    <w:rsid w:val="00177E11"/>
    <w:rsid w:val="00182B88"/>
    <w:rsid w:val="00187333"/>
    <w:rsid w:val="001875DD"/>
    <w:rsid w:val="00187F9A"/>
    <w:rsid w:val="00194543"/>
    <w:rsid w:val="00194623"/>
    <w:rsid w:val="001949B4"/>
    <w:rsid w:val="00195C88"/>
    <w:rsid w:val="00197645"/>
    <w:rsid w:val="001A0965"/>
    <w:rsid w:val="001A10AC"/>
    <w:rsid w:val="001A1178"/>
    <w:rsid w:val="001A1362"/>
    <w:rsid w:val="001A2834"/>
    <w:rsid w:val="001A3D15"/>
    <w:rsid w:val="001A52B1"/>
    <w:rsid w:val="001B403B"/>
    <w:rsid w:val="001B407B"/>
    <w:rsid w:val="001B63EE"/>
    <w:rsid w:val="001C0796"/>
    <w:rsid w:val="001C3B18"/>
    <w:rsid w:val="001D4B2B"/>
    <w:rsid w:val="001D71F9"/>
    <w:rsid w:val="001D75BD"/>
    <w:rsid w:val="001E1208"/>
    <w:rsid w:val="001E16CA"/>
    <w:rsid w:val="001E1C2B"/>
    <w:rsid w:val="001E2FF3"/>
    <w:rsid w:val="001E3047"/>
    <w:rsid w:val="001F02E4"/>
    <w:rsid w:val="001F0A51"/>
    <w:rsid w:val="001F1E55"/>
    <w:rsid w:val="001F3857"/>
    <w:rsid w:val="00205D3D"/>
    <w:rsid w:val="00210343"/>
    <w:rsid w:val="002138C0"/>
    <w:rsid w:val="00216E4E"/>
    <w:rsid w:val="00217303"/>
    <w:rsid w:val="00221D25"/>
    <w:rsid w:val="00221ED0"/>
    <w:rsid w:val="0022565D"/>
    <w:rsid w:val="00226653"/>
    <w:rsid w:val="002353A6"/>
    <w:rsid w:val="00235747"/>
    <w:rsid w:val="00236153"/>
    <w:rsid w:val="00237A40"/>
    <w:rsid w:val="002410ED"/>
    <w:rsid w:val="0024135C"/>
    <w:rsid w:val="0025057D"/>
    <w:rsid w:val="00251C2E"/>
    <w:rsid w:val="0025461D"/>
    <w:rsid w:val="00256517"/>
    <w:rsid w:val="00257B93"/>
    <w:rsid w:val="002606DA"/>
    <w:rsid w:val="0026162A"/>
    <w:rsid w:val="00262DBB"/>
    <w:rsid w:val="002658BC"/>
    <w:rsid w:val="00267D1C"/>
    <w:rsid w:val="00267DB4"/>
    <w:rsid w:val="00273889"/>
    <w:rsid w:val="00275C5D"/>
    <w:rsid w:val="0027656E"/>
    <w:rsid w:val="00277052"/>
    <w:rsid w:val="0029032C"/>
    <w:rsid w:val="00291389"/>
    <w:rsid w:val="002921E0"/>
    <w:rsid w:val="00293139"/>
    <w:rsid w:val="002975E2"/>
    <w:rsid w:val="002A090C"/>
    <w:rsid w:val="002A140F"/>
    <w:rsid w:val="002A2DE0"/>
    <w:rsid w:val="002A677F"/>
    <w:rsid w:val="002A70FC"/>
    <w:rsid w:val="002B310C"/>
    <w:rsid w:val="002B4011"/>
    <w:rsid w:val="002B4305"/>
    <w:rsid w:val="002B488F"/>
    <w:rsid w:val="002B5EC2"/>
    <w:rsid w:val="002B65C2"/>
    <w:rsid w:val="002B6F38"/>
    <w:rsid w:val="002C1A59"/>
    <w:rsid w:val="002C1DC5"/>
    <w:rsid w:val="002C5441"/>
    <w:rsid w:val="002C5A1D"/>
    <w:rsid w:val="002C64E1"/>
    <w:rsid w:val="002C7249"/>
    <w:rsid w:val="002D0904"/>
    <w:rsid w:val="002D2A7E"/>
    <w:rsid w:val="002D66AF"/>
    <w:rsid w:val="002E51EA"/>
    <w:rsid w:val="002E59F2"/>
    <w:rsid w:val="002F1C29"/>
    <w:rsid w:val="002F397F"/>
    <w:rsid w:val="002F423F"/>
    <w:rsid w:val="002F5AE4"/>
    <w:rsid w:val="002F6B8D"/>
    <w:rsid w:val="002F70B8"/>
    <w:rsid w:val="002F7680"/>
    <w:rsid w:val="00301437"/>
    <w:rsid w:val="00312572"/>
    <w:rsid w:val="00313F7B"/>
    <w:rsid w:val="0031721C"/>
    <w:rsid w:val="003172FA"/>
    <w:rsid w:val="00320FE3"/>
    <w:rsid w:val="00323445"/>
    <w:rsid w:val="0032683E"/>
    <w:rsid w:val="00327CC4"/>
    <w:rsid w:val="003308E9"/>
    <w:rsid w:val="003362ED"/>
    <w:rsid w:val="00336744"/>
    <w:rsid w:val="00342864"/>
    <w:rsid w:val="0034343A"/>
    <w:rsid w:val="0034428E"/>
    <w:rsid w:val="00345A81"/>
    <w:rsid w:val="00354661"/>
    <w:rsid w:val="00361671"/>
    <w:rsid w:val="00362B2F"/>
    <w:rsid w:val="0036362A"/>
    <w:rsid w:val="00365D4A"/>
    <w:rsid w:val="00366046"/>
    <w:rsid w:val="00370BC2"/>
    <w:rsid w:val="00371FBE"/>
    <w:rsid w:val="0037303E"/>
    <w:rsid w:val="003736AC"/>
    <w:rsid w:val="00376FA7"/>
    <w:rsid w:val="00377865"/>
    <w:rsid w:val="003824EA"/>
    <w:rsid w:val="003839E4"/>
    <w:rsid w:val="00387B68"/>
    <w:rsid w:val="0039042C"/>
    <w:rsid w:val="003A1B71"/>
    <w:rsid w:val="003A1EF1"/>
    <w:rsid w:val="003B237E"/>
    <w:rsid w:val="003B4A5D"/>
    <w:rsid w:val="003B74DE"/>
    <w:rsid w:val="003C0E49"/>
    <w:rsid w:val="003C0EF8"/>
    <w:rsid w:val="003C3263"/>
    <w:rsid w:val="003C6BB1"/>
    <w:rsid w:val="003C7DCC"/>
    <w:rsid w:val="003D0474"/>
    <w:rsid w:val="003D1FB4"/>
    <w:rsid w:val="003D5490"/>
    <w:rsid w:val="003D6866"/>
    <w:rsid w:val="003E37D6"/>
    <w:rsid w:val="003E6AD9"/>
    <w:rsid w:val="003E700E"/>
    <w:rsid w:val="003F1AAC"/>
    <w:rsid w:val="003F1BB9"/>
    <w:rsid w:val="003F47B2"/>
    <w:rsid w:val="003F55CD"/>
    <w:rsid w:val="003F5F2E"/>
    <w:rsid w:val="003F6267"/>
    <w:rsid w:val="003F63B3"/>
    <w:rsid w:val="003F7E37"/>
    <w:rsid w:val="00400CDE"/>
    <w:rsid w:val="00401889"/>
    <w:rsid w:val="00401D34"/>
    <w:rsid w:val="004122B3"/>
    <w:rsid w:val="0041266F"/>
    <w:rsid w:val="00413B1D"/>
    <w:rsid w:val="004200E3"/>
    <w:rsid w:val="004220D5"/>
    <w:rsid w:val="00424DE1"/>
    <w:rsid w:val="00424E8C"/>
    <w:rsid w:val="0042656A"/>
    <w:rsid w:val="00426B96"/>
    <w:rsid w:val="00435E5D"/>
    <w:rsid w:val="00437DFE"/>
    <w:rsid w:val="004400A9"/>
    <w:rsid w:val="00441EED"/>
    <w:rsid w:val="004454D1"/>
    <w:rsid w:val="00450DCF"/>
    <w:rsid w:val="00457C6A"/>
    <w:rsid w:val="004610D8"/>
    <w:rsid w:val="004613F7"/>
    <w:rsid w:val="004628EA"/>
    <w:rsid w:val="004637DC"/>
    <w:rsid w:val="00463E56"/>
    <w:rsid w:val="004666DD"/>
    <w:rsid w:val="00470F76"/>
    <w:rsid w:val="00472A4B"/>
    <w:rsid w:val="00472A5B"/>
    <w:rsid w:val="00473615"/>
    <w:rsid w:val="00475C54"/>
    <w:rsid w:val="0047688E"/>
    <w:rsid w:val="00477C7C"/>
    <w:rsid w:val="0048625B"/>
    <w:rsid w:val="004954AD"/>
    <w:rsid w:val="0049566B"/>
    <w:rsid w:val="00496241"/>
    <w:rsid w:val="004962EE"/>
    <w:rsid w:val="00497B37"/>
    <w:rsid w:val="004A03AE"/>
    <w:rsid w:val="004A2B2D"/>
    <w:rsid w:val="004A6FBB"/>
    <w:rsid w:val="004A73D7"/>
    <w:rsid w:val="004B0D03"/>
    <w:rsid w:val="004B1543"/>
    <w:rsid w:val="004B3195"/>
    <w:rsid w:val="004B32B0"/>
    <w:rsid w:val="004B3A9B"/>
    <w:rsid w:val="004B3DD1"/>
    <w:rsid w:val="004B4583"/>
    <w:rsid w:val="004B59BE"/>
    <w:rsid w:val="004C2F6E"/>
    <w:rsid w:val="004C5DE3"/>
    <w:rsid w:val="004C6AD0"/>
    <w:rsid w:val="004D0176"/>
    <w:rsid w:val="004D09D5"/>
    <w:rsid w:val="004D25BD"/>
    <w:rsid w:val="004D64B9"/>
    <w:rsid w:val="004D7874"/>
    <w:rsid w:val="004E0541"/>
    <w:rsid w:val="004E1467"/>
    <w:rsid w:val="004E6120"/>
    <w:rsid w:val="004E6AD5"/>
    <w:rsid w:val="004E7454"/>
    <w:rsid w:val="004F07B6"/>
    <w:rsid w:val="004F1CA2"/>
    <w:rsid w:val="004F35A7"/>
    <w:rsid w:val="004F414E"/>
    <w:rsid w:val="005012F4"/>
    <w:rsid w:val="00502F2F"/>
    <w:rsid w:val="00504D3A"/>
    <w:rsid w:val="00504F1D"/>
    <w:rsid w:val="0050522D"/>
    <w:rsid w:val="00514503"/>
    <w:rsid w:val="00515CF1"/>
    <w:rsid w:val="00516E75"/>
    <w:rsid w:val="00520302"/>
    <w:rsid w:val="00523CEB"/>
    <w:rsid w:val="005240B0"/>
    <w:rsid w:val="005248CC"/>
    <w:rsid w:val="00524C0D"/>
    <w:rsid w:val="0052668B"/>
    <w:rsid w:val="0053079D"/>
    <w:rsid w:val="0053392A"/>
    <w:rsid w:val="0053512B"/>
    <w:rsid w:val="00536239"/>
    <w:rsid w:val="005362FA"/>
    <w:rsid w:val="005364C6"/>
    <w:rsid w:val="005408C0"/>
    <w:rsid w:val="005410EA"/>
    <w:rsid w:val="00550CF6"/>
    <w:rsid w:val="005513B6"/>
    <w:rsid w:val="00551572"/>
    <w:rsid w:val="005529B3"/>
    <w:rsid w:val="005546AA"/>
    <w:rsid w:val="00555188"/>
    <w:rsid w:val="00556333"/>
    <w:rsid w:val="005570D9"/>
    <w:rsid w:val="00557FA6"/>
    <w:rsid w:val="0056040A"/>
    <w:rsid w:val="0056386B"/>
    <w:rsid w:val="00565FB7"/>
    <w:rsid w:val="0056759D"/>
    <w:rsid w:val="005706BF"/>
    <w:rsid w:val="0057097D"/>
    <w:rsid w:val="00571CB6"/>
    <w:rsid w:val="00576A09"/>
    <w:rsid w:val="005775BA"/>
    <w:rsid w:val="005805C8"/>
    <w:rsid w:val="005808FF"/>
    <w:rsid w:val="0058349B"/>
    <w:rsid w:val="00583A07"/>
    <w:rsid w:val="005860AE"/>
    <w:rsid w:val="00586CFE"/>
    <w:rsid w:val="00591B6C"/>
    <w:rsid w:val="00592440"/>
    <w:rsid w:val="005A035E"/>
    <w:rsid w:val="005A1042"/>
    <w:rsid w:val="005A41C3"/>
    <w:rsid w:val="005A4FA0"/>
    <w:rsid w:val="005A56D7"/>
    <w:rsid w:val="005B183C"/>
    <w:rsid w:val="005B1A92"/>
    <w:rsid w:val="005B7C95"/>
    <w:rsid w:val="005C5C61"/>
    <w:rsid w:val="005C603E"/>
    <w:rsid w:val="005D10CD"/>
    <w:rsid w:val="005D14DC"/>
    <w:rsid w:val="005D2334"/>
    <w:rsid w:val="005D2817"/>
    <w:rsid w:val="005D413D"/>
    <w:rsid w:val="005E2014"/>
    <w:rsid w:val="005E32BE"/>
    <w:rsid w:val="005E448D"/>
    <w:rsid w:val="005E7988"/>
    <w:rsid w:val="005F2241"/>
    <w:rsid w:val="005F2F66"/>
    <w:rsid w:val="005F5834"/>
    <w:rsid w:val="005F5B68"/>
    <w:rsid w:val="005F6D82"/>
    <w:rsid w:val="00600132"/>
    <w:rsid w:val="00601296"/>
    <w:rsid w:val="00603769"/>
    <w:rsid w:val="006045B4"/>
    <w:rsid w:val="00604D3A"/>
    <w:rsid w:val="00605F4B"/>
    <w:rsid w:val="006075B8"/>
    <w:rsid w:val="00607EE2"/>
    <w:rsid w:val="00616CE9"/>
    <w:rsid w:val="006207F2"/>
    <w:rsid w:val="006224C0"/>
    <w:rsid w:val="00623DF1"/>
    <w:rsid w:val="006250D8"/>
    <w:rsid w:val="00626246"/>
    <w:rsid w:val="00627C07"/>
    <w:rsid w:val="00630EC6"/>
    <w:rsid w:val="006369DD"/>
    <w:rsid w:val="00641CFC"/>
    <w:rsid w:val="00643545"/>
    <w:rsid w:val="0064552D"/>
    <w:rsid w:val="00662778"/>
    <w:rsid w:val="00663FBB"/>
    <w:rsid w:val="00665B45"/>
    <w:rsid w:val="00665EE4"/>
    <w:rsid w:val="00665F60"/>
    <w:rsid w:val="00666660"/>
    <w:rsid w:val="00666B8D"/>
    <w:rsid w:val="00671A6F"/>
    <w:rsid w:val="00672EDE"/>
    <w:rsid w:val="0067409B"/>
    <w:rsid w:val="006757D8"/>
    <w:rsid w:val="006772AC"/>
    <w:rsid w:val="0068207D"/>
    <w:rsid w:val="006825B2"/>
    <w:rsid w:val="006825BB"/>
    <w:rsid w:val="006828C1"/>
    <w:rsid w:val="006828E4"/>
    <w:rsid w:val="0068363F"/>
    <w:rsid w:val="006907B5"/>
    <w:rsid w:val="00690C2B"/>
    <w:rsid w:val="0069112E"/>
    <w:rsid w:val="00694A3E"/>
    <w:rsid w:val="006A422D"/>
    <w:rsid w:val="006B0E2C"/>
    <w:rsid w:val="006B0E2D"/>
    <w:rsid w:val="006B68AB"/>
    <w:rsid w:val="006B7543"/>
    <w:rsid w:val="006C0733"/>
    <w:rsid w:val="006C0813"/>
    <w:rsid w:val="006C0CAA"/>
    <w:rsid w:val="006C1096"/>
    <w:rsid w:val="006C35E2"/>
    <w:rsid w:val="006C6615"/>
    <w:rsid w:val="006C726A"/>
    <w:rsid w:val="006D1FA7"/>
    <w:rsid w:val="006D2B66"/>
    <w:rsid w:val="006D314F"/>
    <w:rsid w:val="006D46F2"/>
    <w:rsid w:val="006D4D77"/>
    <w:rsid w:val="006D732C"/>
    <w:rsid w:val="006D7462"/>
    <w:rsid w:val="006E2A01"/>
    <w:rsid w:val="006E2FDF"/>
    <w:rsid w:val="006E408D"/>
    <w:rsid w:val="006E40F5"/>
    <w:rsid w:val="006E5670"/>
    <w:rsid w:val="006E5B83"/>
    <w:rsid w:val="006F1B77"/>
    <w:rsid w:val="006F7CD2"/>
    <w:rsid w:val="0070338D"/>
    <w:rsid w:val="00705344"/>
    <w:rsid w:val="007059E0"/>
    <w:rsid w:val="007137AB"/>
    <w:rsid w:val="00713B55"/>
    <w:rsid w:val="00714599"/>
    <w:rsid w:val="00714FB5"/>
    <w:rsid w:val="0071558E"/>
    <w:rsid w:val="00715C94"/>
    <w:rsid w:val="0071627E"/>
    <w:rsid w:val="00717433"/>
    <w:rsid w:val="00720DF8"/>
    <w:rsid w:val="00723BC7"/>
    <w:rsid w:val="00725160"/>
    <w:rsid w:val="0072612B"/>
    <w:rsid w:val="007304A9"/>
    <w:rsid w:val="007313A8"/>
    <w:rsid w:val="00731576"/>
    <w:rsid w:val="0073380B"/>
    <w:rsid w:val="00734E0E"/>
    <w:rsid w:val="0074134A"/>
    <w:rsid w:val="0074160C"/>
    <w:rsid w:val="00742BD2"/>
    <w:rsid w:val="00745FEA"/>
    <w:rsid w:val="00746F6C"/>
    <w:rsid w:val="0075033D"/>
    <w:rsid w:val="007515B0"/>
    <w:rsid w:val="00753474"/>
    <w:rsid w:val="0075369D"/>
    <w:rsid w:val="00754015"/>
    <w:rsid w:val="007628A4"/>
    <w:rsid w:val="00765BB9"/>
    <w:rsid w:val="00771FF7"/>
    <w:rsid w:val="00773C1E"/>
    <w:rsid w:val="00773DA6"/>
    <w:rsid w:val="00775363"/>
    <w:rsid w:val="00776D92"/>
    <w:rsid w:val="0078500E"/>
    <w:rsid w:val="00790717"/>
    <w:rsid w:val="00792C0F"/>
    <w:rsid w:val="007947E4"/>
    <w:rsid w:val="00796B50"/>
    <w:rsid w:val="007A77CC"/>
    <w:rsid w:val="007B2755"/>
    <w:rsid w:val="007B29FD"/>
    <w:rsid w:val="007B31E6"/>
    <w:rsid w:val="007C0657"/>
    <w:rsid w:val="007C1054"/>
    <w:rsid w:val="007C1DCC"/>
    <w:rsid w:val="007C6E3B"/>
    <w:rsid w:val="007C72AC"/>
    <w:rsid w:val="007C7398"/>
    <w:rsid w:val="007D16F1"/>
    <w:rsid w:val="007D27BB"/>
    <w:rsid w:val="007D2FC7"/>
    <w:rsid w:val="007D4101"/>
    <w:rsid w:val="007E1E69"/>
    <w:rsid w:val="007E37C8"/>
    <w:rsid w:val="007E428A"/>
    <w:rsid w:val="007E4D87"/>
    <w:rsid w:val="007E59AF"/>
    <w:rsid w:val="007E5F19"/>
    <w:rsid w:val="007E6A5C"/>
    <w:rsid w:val="007E766C"/>
    <w:rsid w:val="007F1794"/>
    <w:rsid w:val="007F1D97"/>
    <w:rsid w:val="007F3AB0"/>
    <w:rsid w:val="007F4A50"/>
    <w:rsid w:val="00800482"/>
    <w:rsid w:val="008012ED"/>
    <w:rsid w:val="008102D1"/>
    <w:rsid w:val="008103CB"/>
    <w:rsid w:val="00811A60"/>
    <w:rsid w:val="00812961"/>
    <w:rsid w:val="00813067"/>
    <w:rsid w:val="0082041E"/>
    <w:rsid w:val="008230B9"/>
    <w:rsid w:val="008258B5"/>
    <w:rsid w:val="008269B4"/>
    <w:rsid w:val="00832EC8"/>
    <w:rsid w:val="00835BDA"/>
    <w:rsid w:val="0084318C"/>
    <w:rsid w:val="008452EC"/>
    <w:rsid w:val="00846886"/>
    <w:rsid w:val="00846EF3"/>
    <w:rsid w:val="008507AD"/>
    <w:rsid w:val="008509FF"/>
    <w:rsid w:val="00851F4C"/>
    <w:rsid w:val="0085284F"/>
    <w:rsid w:val="0085514C"/>
    <w:rsid w:val="00856139"/>
    <w:rsid w:val="0086020C"/>
    <w:rsid w:val="00863593"/>
    <w:rsid w:val="0086563C"/>
    <w:rsid w:val="00866A55"/>
    <w:rsid w:val="0087024C"/>
    <w:rsid w:val="00877A20"/>
    <w:rsid w:val="008826D1"/>
    <w:rsid w:val="008838EC"/>
    <w:rsid w:val="00883E54"/>
    <w:rsid w:val="008842F5"/>
    <w:rsid w:val="00885A43"/>
    <w:rsid w:val="00891E93"/>
    <w:rsid w:val="008955D1"/>
    <w:rsid w:val="008A116F"/>
    <w:rsid w:val="008A41D6"/>
    <w:rsid w:val="008B421F"/>
    <w:rsid w:val="008B4AA2"/>
    <w:rsid w:val="008B500C"/>
    <w:rsid w:val="008B5CAB"/>
    <w:rsid w:val="008B735F"/>
    <w:rsid w:val="008B7AF6"/>
    <w:rsid w:val="008B7FA8"/>
    <w:rsid w:val="008C5151"/>
    <w:rsid w:val="008D0760"/>
    <w:rsid w:val="008D1DF1"/>
    <w:rsid w:val="008D33AE"/>
    <w:rsid w:val="008D447F"/>
    <w:rsid w:val="008D4615"/>
    <w:rsid w:val="008D4838"/>
    <w:rsid w:val="008E095F"/>
    <w:rsid w:val="008E1D59"/>
    <w:rsid w:val="008E251B"/>
    <w:rsid w:val="008E2C5C"/>
    <w:rsid w:val="008E3380"/>
    <w:rsid w:val="008E38A2"/>
    <w:rsid w:val="008E4E1A"/>
    <w:rsid w:val="008E51D6"/>
    <w:rsid w:val="008E6163"/>
    <w:rsid w:val="008E6389"/>
    <w:rsid w:val="008E6951"/>
    <w:rsid w:val="008E71FE"/>
    <w:rsid w:val="008F0F69"/>
    <w:rsid w:val="008F1AE5"/>
    <w:rsid w:val="008F1D87"/>
    <w:rsid w:val="008F2636"/>
    <w:rsid w:val="008F3134"/>
    <w:rsid w:val="008F514A"/>
    <w:rsid w:val="008F5D9F"/>
    <w:rsid w:val="009004C8"/>
    <w:rsid w:val="00902F22"/>
    <w:rsid w:val="00906E1C"/>
    <w:rsid w:val="009071ED"/>
    <w:rsid w:val="00910535"/>
    <w:rsid w:val="009138CA"/>
    <w:rsid w:val="009141C6"/>
    <w:rsid w:val="0092229F"/>
    <w:rsid w:val="009248EA"/>
    <w:rsid w:val="00924A44"/>
    <w:rsid w:val="009260C6"/>
    <w:rsid w:val="00926104"/>
    <w:rsid w:val="00926199"/>
    <w:rsid w:val="0092777D"/>
    <w:rsid w:val="00931A89"/>
    <w:rsid w:val="00932133"/>
    <w:rsid w:val="00933809"/>
    <w:rsid w:val="009342D3"/>
    <w:rsid w:val="00935BE8"/>
    <w:rsid w:val="00936D1B"/>
    <w:rsid w:val="00936F55"/>
    <w:rsid w:val="00937716"/>
    <w:rsid w:val="00940AEE"/>
    <w:rsid w:val="00944B0D"/>
    <w:rsid w:val="00945F46"/>
    <w:rsid w:val="00946C7F"/>
    <w:rsid w:val="00946F82"/>
    <w:rsid w:val="00947D0A"/>
    <w:rsid w:val="0095440C"/>
    <w:rsid w:val="00954603"/>
    <w:rsid w:val="00962345"/>
    <w:rsid w:val="00963D72"/>
    <w:rsid w:val="00965688"/>
    <w:rsid w:val="00965B65"/>
    <w:rsid w:val="00972002"/>
    <w:rsid w:val="00977023"/>
    <w:rsid w:val="009777D2"/>
    <w:rsid w:val="00981442"/>
    <w:rsid w:val="00984FD4"/>
    <w:rsid w:val="00985FAF"/>
    <w:rsid w:val="00991B66"/>
    <w:rsid w:val="00992639"/>
    <w:rsid w:val="009929F7"/>
    <w:rsid w:val="00994694"/>
    <w:rsid w:val="00996418"/>
    <w:rsid w:val="009A0BC8"/>
    <w:rsid w:val="009A0D0B"/>
    <w:rsid w:val="009A516E"/>
    <w:rsid w:val="009A527F"/>
    <w:rsid w:val="009B226B"/>
    <w:rsid w:val="009C06D5"/>
    <w:rsid w:val="009C434C"/>
    <w:rsid w:val="009C780A"/>
    <w:rsid w:val="009D26F8"/>
    <w:rsid w:val="009D2A46"/>
    <w:rsid w:val="009D4272"/>
    <w:rsid w:val="009D5F26"/>
    <w:rsid w:val="009E13DF"/>
    <w:rsid w:val="009E2573"/>
    <w:rsid w:val="009F0C94"/>
    <w:rsid w:val="009F2EBC"/>
    <w:rsid w:val="009F6532"/>
    <w:rsid w:val="00A055C7"/>
    <w:rsid w:val="00A056FD"/>
    <w:rsid w:val="00A07FDB"/>
    <w:rsid w:val="00A105D0"/>
    <w:rsid w:val="00A11127"/>
    <w:rsid w:val="00A1262D"/>
    <w:rsid w:val="00A12F98"/>
    <w:rsid w:val="00A1604A"/>
    <w:rsid w:val="00A170CF"/>
    <w:rsid w:val="00A23996"/>
    <w:rsid w:val="00A27EF4"/>
    <w:rsid w:val="00A306C2"/>
    <w:rsid w:val="00A30779"/>
    <w:rsid w:val="00A31A79"/>
    <w:rsid w:val="00A36130"/>
    <w:rsid w:val="00A36141"/>
    <w:rsid w:val="00A37EE9"/>
    <w:rsid w:val="00A4415F"/>
    <w:rsid w:val="00A4467D"/>
    <w:rsid w:val="00A44BCE"/>
    <w:rsid w:val="00A45115"/>
    <w:rsid w:val="00A459AF"/>
    <w:rsid w:val="00A51E69"/>
    <w:rsid w:val="00A53D29"/>
    <w:rsid w:val="00A53FCD"/>
    <w:rsid w:val="00A5551E"/>
    <w:rsid w:val="00A56B0C"/>
    <w:rsid w:val="00A56BC8"/>
    <w:rsid w:val="00A56EFB"/>
    <w:rsid w:val="00A60ED5"/>
    <w:rsid w:val="00A62569"/>
    <w:rsid w:val="00A63031"/>
    <w:rsid w:val="00A64865"/>
    <w:rsid w:val="00A65A08"/>
    <w:rsid w:val="00A67006"/>
    <w:rsid w:val="00A67CBA"/>
    <w:rsid w:val="00A727BB"/>
    <w:rsid w:val="00A80F21"/>
    <w:rsid w:val="00A8233B"/>
    <w:rsid w:val="00A825E4"/>
    <w:rsid w:val="00A8284C"/>
    <w:rsid w:val="00A83308"/>
    <w:rsid w:val="00A845E7"/>
    <w:rsid w:val="00A939FD"/>
    <w:rsid w:val="00A949CA"/>
    <w:rsid w:val="00A94CE4"/>
    <w:rsid w:val="00A94E53"/>
    <w:rsid w:val="00A95338"/>
    <w:rsid w:val="00A9587D"/>
    <w:rsid w:val="00A9700E"/>
    <w:rsid w:val="00AA32E9"/>
    <w:rsid w:val="00AA383C"/>
    <w:rsid w:val="00AA51EB"/>
    <w:rsid w:val="00AA5B99"/>
    <w:rsid w:val="00AA66DF"/>
    <w:rsid w:val="00AB28B5"/>
    <w:rsid w:val="00AB3770"/>
    <w:rsid w:val="00AC0740"/>
    <w:rsid w:val="00AC46E7"/>
    <w:rsid w:val="00AD0C5A"/>
    <w:rsid w:val="00AD76D9"/>
    <w:rsid w:val="00AE2BC2"/>
    <w:rsid w:val="00AE4789"/>
    <w:rsid w:val="00AE4B97"/>
    <w:rsid w:val="00AE6FA4"/>
    <w:rsid w:val="00AE78E4"/>
    <w:rsid w:val="00AE7F7F"/>
    <w:rsid w:val="00AF3E3C"/>
    <w:rsid w:val="00AF4A2F"/>
    <w:rsid w:val="00AF4A5A"/>
    <w:rsid w:val="00B01D95"/>
    <w:rsid w:val="00B01FDF"/>
    <w:rsid w:val="00B05335"/>
    <w:rsid w:val="00B0562F"/>
    <w:rsid w:val="00B10A8C"/>
    <w:rsid w:val="00B12541"/>
    <w:rsid w:val="00B1364A"/>
    <w:rsid w:val="00B17DA9"/>
    <w:rsid w:val="00B22998"/>
    <w:rsid w:val="00B23CF8"/>
    <w:rsid w:val="00B25E92"/>
    <w:rsid w:val="00B31303"/>
    <w:rsid w:val="00B320B7"/>
    <w:rsid w:val="00B34704"/>
    <w:rsid w:val="00B34E08"/>
    <w:rsid w:val="00B34F4E"/>
    <w:rsid w:val="00B36750"/>
    <w:rsid w:val="00B40412"/>
    <w:rsid w:val="00B501D6"/>
    <w:rsid w:val="00B52932"/>
    <w:rsid w:val="00B53C4E"/>
    <w:rsid w:val="00B55790"/>
    <w:rsid w:val="00B57BCE"/>
    <w:rsid w:val="00B60081"/>
    <w:rsid w:val="00B630ED"/>
    <w:rsid w:val="00B654BA"/>
    <w:rsid w:val="00B703FF"/>
    <w:rsid w:val="00B722E6"/>
    <w:rsid w:val="00B72C1E"/>
    <w:rsid w:val="00B743A0"/>
    <w:rsid w:val="00B75192"/>
    <w:rsid w:val="00B80B74"/>
    <w:rsid w:val="00B815B4"/>
    <w:rsid w:val="00B83BFA"/>
    <w:rsid w:val="00B91B2B"/>
    <w:rsid w:val="00B928EA"/>
    <w:rsid w:val="00B95F3F"/>
    <w:rsid w:val="00B9652D"/>
    <w:rsid w:val="00B968A5"/>
    <w:rsid w:val="00BA1CC6"/>
    <w:rsid w:val="00BA2B45"/>
    <w:rsid w:val="00BA360A"/>
    <w:rsid w:val="00BA47F7"/>
    <w:rsid w:val="00BA6AD9"/>
    <w:rsid w:val="00BB0530"/>
    <w:rsid w:val="00BB39C0"/>
    <w:rsid w:val="00BB5A28"/>
    <w:rsid w:val="00BB5FB5"/>
    <w:rsid w:val="00BC35F9"/>
    <w:rsid w:val="00BC3CCE"/>
    <w:rsid w:val="00BC49AA"/>
    <w:rsid w:val="00BC7E72"/>
    <w:rsid w:val="00BD036E"/>
    <w:rsid w:val="00BD325F"/>
    <w:rsid w:val="00BD38D1"/>
    <w:rsid w:val="00BD3EFD"/>
    <w:rsid w:val="00BD53DE"/>
    <w:rsid w:val="00BD7713"/>
    <w:rsid w:val="00BE057C"/>
    <w:rsid w:val="00BE073B"/>
    <w:rsid w:val="00BE0C4A"/>
    <w:rsid w:val="00BE0E3B"/>
    <w:rsid w:val="00BE2729"/>
    <w:rsid w:val="00BE29AE"/>
    <w:rsid w:val="00BE37F5"/>
    <w:rsid w:val="00BF0166"/>
    <w:rsid w:val="00BF2C8A"/>
    <w:rsid w:val="00BF688A"/>
    <w:rsid w:val="00C0122F"/>
    <w:rsid w:val="00C01A75"/>
    <w:rsid w:val="00C02170"/>
    <w:rsid w:val="00C0600C"/>
    <w:rsid w:val="00C12187"/>
    <w:rsid w:val="00C122D5"/>
    <w:rsid w:val="00C12F6F"/>
    <w:rsid w:val="00C175B6"/>
    <w:rsid w:val="00C17FD1"/>
    <w:rsid w:val="00C21BD7"/>
    <w:rsid w:val="00C2245C"/>
    <w:rsid w:val="00C24028"/>
    <w:rsid w:val="00C25517"/>
    <w:rsid w:val="00C304CB"/>
    <w:rsid w:val="00C30D93"/>
    <w:rsid w:val="00C31651"/>
    <w:rsid w:val="00C31868"/>
    <w:rsid w:val="00C37D88"/>
    <w:rsid w:val="00C40EFF"/>
    <w:rsid w:val="00C443F4"/>
    <w:rsid w:val="00C44DDA"/>
    <w:rsid w:val="00C45926"/>
    <w:rsid w:val="00C45A18"/>
    <w:rsid w:val="00C45F11"/>
    <w:rsid w:val="00C464FE"/>
    <w:rsid w:val="00C5025F"/>
    <w:rsid w:val="00C50808"/>
    <w:rsid w:val="00C5324A"/>
    <w:rsid w:val="00C55439"/>
    <w:rsid w:val="00C62627"/>
    <w:rsid w:val="00C62699"/>
    <w:rsid w:val="00C628D3"/>
    <w:rsid w:val="00C6349C"/>
    <w:rsid w:val="00C63E4C"/>
    <w:rsid w:val="00C719B2"/>
    <w:rsid w:val="00C74C0E"/>
    <w:rsid w:val="00C75C07"/>
    <w:rsid w:val="00C77625"/>
    <w:rsid w:val="00C837A7"/>
    <w:rsid w:val="00C867F7"/>
    <w:rsid w:val="00C96478"/>
    <w:rsid w:val="00CA0946"/>
    <w:rsid w:val="00CA438D"/>
    <w:rsid w:val="00CB0132"/>
    <w:rsid w:val="00CB0C17"/>
    <w:rsid w:val="00CB3484"/>
    <w:rsid w:val="00CB3E11"/>
    <w:rsid w:val="00CC27C4"/>
    <w:rsid w:val="00CC5666"/>
    <w:rsid w:val="00CC6B56"/>
    <w:rsid w:val="00CC736C"/>
    <w:rsid w:val="00CD6858"/>
    <w:rsid w:val="00CD7FB2"/>
    <w:rsid w:val="00CE26B0"/>
    <w:rsid w:val="00CE3551"/>
    <w:rsid w:val="00CE5E8B"/>
    <w:rsid w:val="00CF0131"/>
    <w:rsid w:val="00CF1072"/>
    <w:rsid w:val="00CF2A70"/>
    <w:rsid w:val="00CF77BF"/>
    <w:rsid w:val="00D013A4"/>
    <w:rsid w:val="00D0169B"/>
    <w:rsid w:val="00D027C7"/>
    <w:rsid w:val="00D02DD8"/>
    <w:rsid w:val="00D040AD"/>
    <w:rsid w:val="00D0477D"/>
    <w:rsid w:val="00D05DA3"/>
    <w:rsid w:val="00D1034F"/>
    <w:rsid w:val="00D11558"/>
    <w:rsid w:val="00D14184"/>
    <w:rsid w:val="00D16CFA"/>
    <w:rsid w:val="00D17B51"/>
    <w:rsid w:val="00D17C43"/>
    <w:rsid w:val="00D17C8A"/>
    <w:rsid w:val="00D21EE9"/>
    <w:rsid w:val="00D2620C"/>
    <w:rsid w:val="00D26874"/>
    <w:rsid w:val="00D279A5"/>
    <w:rsid w:val="00D333E2"/>
    <w:rsid w:val="00D34006"/>
    <w:rsid w:val="00D3559D"/>
    <w:rsid w:val="00D3593D"/>
    <w:rsid w:val="00D37E9D"/>
    <w:rsid w:val="00D40798"/>
    <w:rsid w:val="00D414C4"/>
    <w:rsid w:val="00D41AB0"/>
    <w:rsid w:val="00D4442A"/>
    <w:rsid w:val="00D44F76"/>
    <w:rsid w:val="00D4594B"/>
    <w:rsid w:val="00D46BFB"/>
    <w:rsid w:val="00D4707E"/>
    <w:rsid w:val="00D51998"/>
    <w:rsid w:val="00D5225F"/>
    <w:rsid w:val="00D5323C"/>
    <w:rsid w:val="00D535D8"/>
    <w:rsid w:val="00D54EAB"/>
    <w:rsid w:val="00D5502C"/>
    <w:rsid w:val="00D566FF"/>
    <w:rsid w:val="00D573E1"/>
    <w:rsid w:val="00D6020A"/>
    <w:rsid w:val="00D60A37"/>
    <w:rsid w:val="00D60CB6"/>
    <w:rsid w:val="00D70137"/>
    <w:rsid w:val="00D713DC"/>
    <w:rsid w:val="00D7221D"/>
    <w:rsid w:val="00D7496D"/>
    <w:rsid w:val="00D773AD"/>
    <w:rsid w:val="00D821DF"/>
    <w:rsid w:val="00D83A08"/>
    <w:rsid w:val="00D8489F"/>
    <w:rsid w:val="00D86036"/>
    <w:rsid w:val="00D865B3"/>
    <w:rsid w:val="00D86D4D"/>
    <w:rsid w:val="00D872A2"/>
    <w:rsid w:val="00D90DAF"/>
    <w:rsid w:val="00D90F16"/>
    <w:rsid w:val="00D9354A"/>
    <w:rsid w:val="00D93C73"/>
    <w:rsid w:val="00D9519C"/>
    <w:rsid w:val="00DB16C1"/>
    <w:rsid w:val="00DB5DF5"/>
    <w:rsid w:val="00DB6FE7"/>
    <w:rsid w:val="00DC0264"/>
    <w:rsid w:val="00DC0A98"/>
    <w:rsid w:val="00DC25C2"/>
    <w:rsid w:val="00DC4FE8"/>
    <w:rsid w:val="00DC6436"/>
    <w:rsid w:val="00DC6508"/>
    <w:rsid w:val="00DC6777"/>
    <w:rsid w:val="00DC740C"/>
    <w:rsid w:val="00DD3D1C"/>
    <w:rsid w:val="00DE1DCF"/>
    <w:rsid w:val="00DE27C9"/>
    <w:rsid w:val="00DE32D1"/>
    <w:rsid w:val="00DE40C7"/>
    <w:rsid w:val="00DF1A7F"/>
    <w:rsid w:val="00DF5878"/>
    <w:rsid w:val="00DF7BA3"/>
    <w:rsid w:val="00E006E1"/>
    <w:rsid w:val="00E051E2"/>
    <w:rsid w:val="00E10279"/>
    <w:rsid w:val="00E133DA"/>
    <w:rsid w:val="00E13E09"/>
    <w:rsid w:val="00E150BC"/>
    <w:rsid w:val="00E172A6"/>
    <w:rsid w:val="00E17AFF"/>
    <w:rsid w:val="00E251EC"/>
    <w:rsid w:val="00E252D1"/>
    <w:rsid w:val="00E26A70"/>
    <w:rsid w:val="00E305B2"/>
    <w:rsid w:val="00E329F3"/>
    <w:rsid w:val="00E32B9A"/>
    <w:rsid w:val="00E32DC0"/>
    <w:rsid w:val="00E35B4F"/>
    <w:rsid w:val="00E3622C"/>
    <w:rsid w:val="00E3694E"/>
    <w:rsid w:val="00E3707F"/>
    <w:rsid w:val="00E42D02"/>
    <w:rsid w:val="00E44092"/>
    <w:rsid w:val="00E505C8"/>
    <w:rsid w:val="00E5083B"/>
    <w:rsid w:val="00E512CE"/>
    <w:rsid w:val="00E55CD3"/>
    <w:rsid w:val="00E60D9C"/>
    <w:rsid w:val="00E62751"/>
    <w:rsid w:val="00E7139B"/>
    <w:rsid w:val="00E71F08"/>
    <w:rsid w:val="00E73F9F"/>
    <w:rsid w:val="00E767EC"/>
    <w:rsid w:val="00E804B1"/>
    <w:rsid w:val="00E820C0"/>
    <w:rsid w:val="00E83F72"/>
    <w:rsid w:val="00E85F3A"/>
    <w:rsid w:val="00E87805"/>
    <w:rsid w:val="00E925E0"/>
    <w:rsid w:val="00E930B0"/>
    <w:rsid w:val="00E93510"/>
    <w:rsid w:val="00E93588"/>
    <w:rsid w:val="00E93656"/>
    <w:rsid w:val="00E94011"/>
    <w:rsid w:val="00EA0089"/>
    <w:rsid w:val="00EA11C4"/>
    <w:rsid w:val="00EA1299"/>
    <w:rsid w:val="00EA31F0"/>
    <w:rsid w:val="00EA7185"/>
    <w:rsid w:val="00EB04DB"/>
    <w:rsid w:val="00EB1D0B"/>
    <w:rsid w:val="00EB2CF6"/>
    <w:rsid w:val="00EB389A"/>
    <w:rsid w:val="00EB5995"/>
    <w:rsid w:val="00EB6F47"/>
    <w:rsid w:val="00EB7E5A"/>
    <w:rsid w:val="00EC0AC7"/>
    <w:rsid w:val="00EC2428"/>
    <w:rsid w:val="00EC348E"/>
    <w:rsid w:val="00EC4D69"/>
    <w:rsid w:val="00EC5ECD"/>
    <w:rsid w:val="00ED269D"/>
    <w:rsid w:val="00ED2711"/>
    <w:rsid w:val="00ED384D"/>
    <w:rsid w:val="00ED4FE7"/>
    <w:rsid w:val="00ED5A33"/>
    <w:rsid w:val="00ED7E13"/>
    <w:rsid w:val="00EE699E"/>
    <w:rsid w:val="00EE772A"/>
    <w:rsid w:val="00F01F8A"/>
    <w:rsid w:val="00F029A8"/>
    <w:rsid w:val="00F04C31"/>
    <w:rsid w:val="00F05530"/>
    <w:rsid w:val="00F05EA4"/>
    <w:rsid w:val="00F06A78"/>
    <w:rsid w:val="00F06B60"/>
    <w:rsid w:val="00F10BC9"/>
    <w:rsid w:val="00F119BF"/>
    <w:rsid w:val="00F119F8"/>
    <w:rsid w:val="00F11ACD"/>
    <w:rsid w:val="00F1476A"/>
    <w:rsid w:val="00F1572B"/>
    <w:rsid w:val="00F17CE7"/>
    <w:rsid w:val="00F21118"/>
    <w:rsid w:val="00F22F9A"/>
    <w:rsid w:val="00F236CF"/>
    <w:rsid w:val="00F34F67"/>
    <w:rsid w:val="00F36DDF"/>
    <w:rsid w:val="00F3742E"/>
    <w:rsid w:val="00F4097D"/>
    <w:rsid w:val="00F43460"/>
    <w:rsid w:val="00F45408"/>
    <w:rsid w:val="00F462B0"/>
    <w:rsid w:val="00F464F1"/>
    <w:rsid w:val="00F471B4"/>
    <w:rsid w:val="00F47E37"/>
    <w:rsid w:val="00F51000"/>
    <w:rsid w:val="00F51765"/>
    <w:rsid w:val="00F548B3"/>
    <w:rsid w:val="00F57A66"/>
    <w:rsid w:val="00F60B9A"/>
    <w:rsid w:val="00F62FE7"/>
    <w:rsid w:val="00F63FEA"/>
    <w:rsid w:val="00F6744C"/>
    <w:rsid w:val="00F6765B"/>
    <w:rsid w:val="00F679D7"/>
    <w:rsid w:val="00F7032C"/>
    <w:rsid w:val="00F70551"/>
    <w:rsid w:val="00F70EDD"/>
    <w:rsid w:val="00F71252"/>
    <w:rsid w:val="00F72981"/>
    <w:rsid w:val="00F75AE7"/>
    <w:rsid w:val="00F77011"/>
    <w:rsid w:val="00F83E88"/>
    <w:rsid w:val="00F840B9"/>
    <w:rsid w:val="00F84118"/>
    <w:rsid w:val="00F86FE7"/>
    <w:rsid w:val="00F92554"/>
    <w:rsid w:val="00F925E1"/>
    <w:rsid w:val="00F931C4"/>
    <w:rsid w:val="00F9510C"/>
    <w:rsid w:val="00F952C1"/>
    <w:rsid w:val="00FA1FEF"/>
    <w:rsid w:val="00FA306B"/>
    <w:rsid w:val="00FA46BA"/>
    <w:rsid w:val="00FA5EA5"/>
    <w:rsid w:val="00FA76BF"/>
    <w:rsid w:val="00FB1933"/>
    <w:rsid w:val="00FB3497"/>
    <w:rsid w:val="00FB4C10"/>
    <w:rsid w:val="00FB59B4"/>
    <w:rsid w:val="00FC199F"/>
    <w:rsid w:val="00FC3AD2"/>
    <w:rsid w:val="00FC6EB1"/>
    <w:rsid w:val="00FC73DB"/>
    <w:rsid w:val="00FC7E34"/>
    <w:rsid w:val="00FD0042"/>
    <w:rsid w:val="00FD2027"/>
    <w:rsid w:val="00FD41AC"/>
    <w:rsid w:val="00FD4ED2"/>
    <w:rsid w:val="00FD5A97"/>
    <w:rsid w:val="00FD75A4"/>
    <w:rsid w:val="00FD7CBB"/>
    <w:rsid w:val="00FE2932"/>
    <w:rsid w:val="00FE2B4B"/>
    <w:rsid w:val="00FE3999"/>
    <w:rsid w:val="00FE4D8D"/>
    <w:rsid w:val="00FE5D67"/>
    <w:rsid w:val="00FF0798"/>
    <w:rsid w:val="00FF1384"/>
    <w:rsid w:val="00FF3DCE"/>
    <w:rsid w:val="00FF6AAF"/>
    <w:rsid w:val="00FF6E62"/>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6C6E7FC9-9F8A-4843-AFB1-487681FD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299"/>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985FAF"/>
    <w:pPr>
      <w:spacing w:after="0" w:line="240" w:lineRule="auto"/>
    </w:pPr>
  </w:style>
  <w:style w:type="character" w:customStyle="1" w:styleId="tlid-translation">
    <w:name w:val="tlid-translation"/>
    <w:basedOn w:val="Absatz-Standardschriftart"/>
    <w:rsid w:val="00856139"/>
  </w:style>
  <w:style w:type="character" w:customStyle="1" w:styleId="q4iawc">
    <w:name w:val="q4iawc"/>
    <w:basedOn w:val="Absatz-Standardschriftart"/>
    <w:rsid w:val="00856139"/>
  </w:style>
  <w:style w:type="character" w:styleId="Fett">
    <w:name w:val="Strong"/>
    <w:basedOn w:val="Absatz-Standardschriftart"/>
    <w:uiPriority w:val="22"/>
    <w:qFormat/>
    <w:rsid w:val="00371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03577572">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1798186122">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antron.net/wp-content/uploads/2022/09/QUANTRON-QHM-FCEV-2-scaled.jpg" TargetMode="External"/><Relationship Id="rId18" Type="http://schemas.openxmlformats.org/officeDocument/2006/relationships/image" Target="media/image4.jpeg"/><Relationship Id="rId26" Type="http://schemas.openxmlformats.org/officeDocument/2006/relationships/hyperlink" Target="https://www.linkedin.com/company/quantron-ag" TargetMode="External"/><Relationship Id="rId3" Type="http://schemas.openxmlformats.org/officeDocument/2006/relationships/customXml" Target="../customXml/item3.xml"/><Relationship Id="rId21" Type="http://schemas.openxmlformats.org/officeDocument/2006/relationships/hyperlink" Target="https://www.quantron.net/wp-content/uploads/2022/09/QUANTRON-QHM-FCEV-3-scaled.jp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quantron.net/wp-content/uploads/2022/09/QUANTRON-QHM-FCEV-Interior-scaled.jpg" TargetMode="External"/><Relationship Id="rId25" Type="http://schemas.openxmlformats.org/officeDocument/2006/relationships/hyperlink" Target="http://www.quantron.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mailto:m.lischka@quantron.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ntron.net/wp-content/uploads/2022/09/QUANTRON-QHM-FCEV-1.jpg" TargetMode="External"/><Relationship Id="rId24" Type="http://schemas.openxmlformats.org/officeDocument/2006/relationships/image" Target="media/image7.jpe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quantron.net/wp-content/uploads/2022/09/QUANTRON-QHM-FCEV-Render-Components-scaled.jpg" TargetMode="External"/><Relationship Id="rId23" Type="http://schemas.openxmlformats.org/officeDocument/2006/relationships/hyperlink" Target="https://www.quantron.net/wp-content/uploads/2022/09/QUANTRON-Portfolio-1.jpg" TargetMode="External"/><Relationship Id="rId28" Type="http://schemas.openxmlformats.org/officeDocument/2006/relationships/hyperlink" Target="http://www.quantron.net" TargetMode="External"/><Relationship Id="rId10" Type="http://schemas.openxmlformats.org/officeDocument/2006/relationships/hyperlink" Target="https://www.quantron.net/q-news/pr-berichte/" TargetMode="External"/><Relationship Id="rId19" Type="http://schemas.openxmlformats.org/officeDocument/2006/relationships/hyperlink" Target="https://www.quantron.net/wp-content/uploads/2022/09/QUANTRON-QHM-FCEV-Aero-Kit-scaled.jpg"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s://www.youtube.com/channel/UCDQ-CKkS8XMHcJ9Ze-6UVNA" TargetMode="External"/><Relationship Id="rId30" Type="http://schemas.openxmlformats.org/officeDocument/2006/relationships/hyperlink" Target="mailto:presse@quantron.net"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3D898C55-08C7-4040-B871-4493F8B6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1552</Words>
  <Characters>9782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11312</CharactersWithSpaces>
  <SharedDoc>false</SharedDoc>
  <HLinks>
    <vt:vector size="42" baseType="variant">
      <vt:variant>
        <vt:i4>5832814</vt:i4>
      </vt:variant>
      <vt:variant>
        <vt:i4>18</vt:i4>
      </vt:variant>
      <vt:variant>
        <vt:i4>0</vt:i4>
      </vt:variant>
      <vt:variant>
        <vt:i4>5</vt:i4>
      </vt:variant>
      <vt:variant>
        <vt:lpwstr>mailto:presse@quantron.net</vt:lpwstr>
      </vt:variant>
      <vt:variant>
        <vt:lpwstr/>
      </vt:variant>
      <vt:variant>
        <vt:i4>5832748</vt:i4>
      </vt:variant>
      <vt:variant>
        <vt:i4>15</vt:i4>
      </vt:variant>
      <vt:variant>
        <vt:i4>0</vt:i4>
      </vt:variant>
      <vt:variant>
        <vt:i4>5</vt:i4>
      </vt:variant>
      <vt:variant>
        <vt:lpwstr>mailto:m.lischka@quantron.net</vt:lpwstr>
      </vt:variant>
      <vt:variant>
        <vt:lpwstr/>
      </vt:variant>
      <vt:variant>
        <vt:i4>4456525</vt:i4>
      </vt:variant>
      <vt:variant>
        <vt:i4>12</vt:i4>
      </vt:variant>
      <vt:variant>
        <vt:i4>0</vt:i4>
      </vt:variant>
      <vt:variant>
        <vt:i4>5</vt:i4>
      </vt:variant>
      <vt:variant>
        <vt:lpwstr>http://www.quantron.net/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139</cp:revision>
  <cp:lastPrinted>2022-09-19T09:47:00Z</cp:lastPrinted>
  <dcterms:created xsi:type="dcterms:W3CDTF">2022-09-06T14:46:00Z</dcterms:created>
  <dcterms:modified xsi:type="dcterms:W3CDTF">2022-10-06T12:23:00Z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Datum">
    <vt:lpwstr/>
  </property>
</Properties>
</file>