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C219" w14:textId="77777777" w:rsidR="003470C1" w:rsidRDefault="002D0904" w:rsidP="003470C1">
      <w:pPr>
        <w:tabs>
          <w:tab w:val="right" w:pos="9356"/>
        </w:tabs>
        <w:spacing w:after="0" w:line="360" w:lineRule="auto"/>
      </w:pPr>
      <w:r>
        <w:t>PRESS RELEASE</w:t>
      </w:r>
    </w:p>
    <w:p w14:paraId="621FF2D8" w14:textId="5D282D25" w:rsidR="007F3AB0" w:rsidRPr="00790717" w:rsidRDefault="002D0904" w:rsidP="003470C1">
      <w:pPr>
        <w:tabs>
          <w:tab w:val="right" w:pos="9356"/>
        </w:tabs>
        <w:spacing w:after="0" w:line="360" w:lineRule="auto"/>
        <w:jc w:val="right"/>
        <w:rPr>
          <w:rFonts w:cstheme="minorHAnsi"/>
          <w:sz w:val="20"/>
        </w:rPr>
      </w:pPr>
      <w:r>
        <w:t xml:space="preserve">         </w:t>
      </w:r>
      <w:r>
        <w:rPr>
          <w:sz w:val="18"/>
        </w:rPr>
        <w:t>21st December 2022</w:t>
      </w:r>
    </w:p>
    <w:p w14:paraId="7915A56D" w14:textId="39E95BF8" w:rsidR="0069112E" w:rsidRPr="0069112E" w:rsidRDefault="005237DD" w:rsidP="0069112E">
      <w:pPr>
        <w:spacing w:before="340" w:after="340" w:line="240" w:lineRule="auto"/>
        <w:rPr>
          <w:rFonts w:cstheme="minorHAnsi"/>
          <w:b/>
          <w:bCs/>
          <w:sz w:val="28"/>
          <w:szCs w:val="28"/>
        </w:rPr>
      </w:pPr>
      <w:r>
        <w:rPr>
          <w:b/>
          <w:bCs/>
          <w:sz w:val="28"/>
          <w:szCs w:val="28"/>
        </w:rPr>
        <w:t>Comprehensive hydrogen concept from QUANTRON honoured with Frost &amp; Sullivan Best Practices Award</w:t>
      </w:r>
    </w:p>
    <w:p w14:paraId="6210E58E" w14:textId="125DD836" w:rsidR="00EA3B19" w:rsidRPr="00407AFD" w:rsidRDefault="00EA3B19" w:rsidP="005237DD">
      <w:pPr>
        <w:pStyle w:val="01Flietext"/>
        <w:numPr>
          <w:ilvl w:val="0"/>
          <w:numId w:val="2"/>
        </w:numPr>
        <w:spacing w:line="276" w:lineRule="auto"/>
        <w:ind w:left="714" w:hanging="357"/>
        <w:rPr>
          <w:rFonts w:asciiTheme="minorHAnsi" w:hAnsiTheme="minorHAnsi" w:cstheme="minorHAnsi"/>
          <w:sz w:val="24"/>
          <w:szCs w:val="24"/>
        </w:rPr>
      </w:pPr>
      <w:r>
        <w:rPr>
          <w:rFonts w:asciiTheme="minorHAnsi" w:hAnsiTheme="minorHAnsi"/>
          <w:sz w:val="24"/>
          <w:szCs w:val="24"/>
        </w:rPr>
        <w:t xml:space="preserve">QUANTRON is a </w:t>
      </w:r>
      <w:proofErr w:type="spellStart"/>
      <w:r>
        <w:rPr>
          <w:rFonts w:asciiTheme="minorHAnsi" w:hAnsiTheme="minorHAnsi"/>
          <w:sz w:val="24"/>
          <w:szCs w:val="24"/>
        </w:rPr>
        <w:t>prizewinner</w:t>
      </w:r>
      <w:proofErr w:type="spellEnd"/>
      <w:r>
        <w:rPr>
          <w:rFonts w:asciiTheme="minorHAnsi" w:hAnsiTheme="minorHAnsi"/>
          <w:sz w:val="24"/>
          <w:szCs w:val="24"/>
        </w:rPr>
        <w:t xml:space="preserve"> in the category "European Heavy-Duty Fuel-Cell Trucking New Product Innovation"</w:t>
      </w:r>
    </w:p>
    <w:p w14:paraId="725FD52B" w14:textId="6669B170" w:rsidR="005237DD" w:rsidRPr="00407AFD" w:rsidRDefault="005237DD" w:rsidP="005237DD">
      <w:pPr>
        <w:pStyle w:val="01Flietext"/>
        <w:numPr>
          <w:ilvl w:val="0"/>
          <w:numId w:val="2"/>
        </w:numPr>
        <w:spacing w:line="276" w:lineRule="auto"/>
        <w:ind w:left="714" w:hanging="357"/>
        <w:rPr>
          <w:rFonts w:asciiTheme="minorHAnsi" w:hAnsiTheme="minorHAnsi" w:cstheme="minorHAnsi"/>
          <w:sz w:val="24"/>
          <w:szCs w:val="24"/>
        </w:rPr>
      </w:pPr>
      <w:r>
        <w:rPr>
          <w:rFonts w:asciiTheme="minorHAnsi" w:hAnsiTheme="minorHAnsi"/>
          <w:sz w:val="24"/>
          <w:szCs w:val="24"/>
        </w:rPr>
        <w:t>The award honours Quantron AG's comprehensive hydrogen concept which includes FCEV vehicles as well as after-sales services along with the tank infrastructure through Quantron-as-a-Service</w:t>
      </w:r>
    </w:p>
    <w:p w14:paraId="31F98C4F" w14:textId="426C4A5A" w:rsidR="00A87CCC" w:rsidRDefault="00133769" w:rsidP="005E78FC">
      <w:r>
        <w:t xml:space="preserve">As experts for sustainable mobility, Quantron AG is a recipient of the Frost &amp; Sullivan Best Practices Award in the category "European Heavy-Duty Fuel-Cell Trucking New Product Innovation". Frost &amp; Sullivan has been supporting global companies for six decades now </w:t>
      </w:r>
      <w:proofErr w:type="gramStart"/>
      <w:r>
        <w:t>in order to</w:t>
      </w:r>
      <w:proofErr w:type="gramEnd"/>
      <w:r>
        <w:t xml:space="preserve"> advance and showcase new technologies, megatrends and business models. The Best Practices Award honours companies that offer innovative products or solutions to important customer problems. The award recognises QUANTRON's integrated and holistic hydrogen concept.</w:t>
      </w:r>
    </w:p>
    <w:p w14:paraId="3ED1D4F4" w14:textId="15F70AE9" w:rsidR="006C1481" w:rsidRDefault="00C41E7C" w:rsidP="00BD44A6">
      <w:r>
        <w:t xml:space="preserve">Hydrogen-based ecosystems for sustainable freight transport represent a future-oriented opportunity for zero-emission mobility both in terms of technology and mass-marketing. </w:t>
      </w:r>
      <w:proofErr w:type="spellStart"/>
      <w:r>
        <w:t>Quantron's</w:t>
      </w:r>
      <w:proofErr w:type="spellEnd"/>
      <w:r>
        <w:t xml:space="preserve"> own ecosystem, Quantron-as-a-Service, includes both the QUANTRON CUSTOMER SOLUTIONS area with physical and digital after-sales services and QUANTRON ENERGY which ensures the generation and provision of green energy and green hydrogen as well as the appropriate infrastructure network. </w:t>
      </w:r>
    </w:p>
    <w:p w14:paraId="19C10A8D" w14:textId="7425D3FA" w:rsidR="00BD44A6" w:rsidRDefault="00DA5AEA" w:rsidP="00BD44A6">
      <w:r>
        <w:t xml:space="preserve">In addition to fully electric commercial vehicles, QUANTRON also focuses on fuel cell-powered vehicles. With a 54 kg H2 tank fully integrated into the chassis, the QUANTRON QHM FCEV heavy truck can cover </w:t>
      </w:r>
      <w:proofErr w:type="gramStart"/>
      <w:r>
        <w:t>a distance of up</w:t>
      </w:r>
      <w:proofErr w:type="gramEnd"/>
      <w:r>
        <w:t xml:space="preserve"> to 700 km with one filling whilst transporting a maximum payload. In the QUANTRON QHM FCEV 44-2000 version, the truck stands out from its competitors through its extraordinarily large tank volume of up to 116 kg. This means that ranges of up to 1500 km are possible with a single H2 tank filling. Other products under development include 4.2 t and 7.2 t FCEV trucks as well as 6x2 truck tractor units and a refuse collection vehicle. As a result, Quantron AG </w:t>
      </w:r>
      <w:proofErr w:type="gramStart"/>
      <w:r>
        <w:t>is able to</w:t>
      </w:r>
      <w:proofErr w:type="gramEnd"/>
      <w:r>
        <w:t xml:space="preserve"> serve important market needs very effectively.</w:t>
      </w:r>
    </w:p>
    <w:p w14:paraId="35BDC55F" w14:textId="266377F0" w:rsidR="00101C69" w:rsidRPr="006B714D" w:rsidRDefault="00133769" w:rsidP="001D6C01">
      <w:r>
        <w:t xml:space="preserve">Michael Perschke, CEO of QUANTRON AG: “The Best Practices Award is a recognition of the activities of the entire Quantron team and our partners during this past year. Our goal is to become one of the </w:t>
      </w:r>
      <w:r>
        <w:lastRenderedPageBreak/>
        <w:t xml:space="preserve">leading companies in the field of zero-emission vehicles thus making our contribution to a sustainable and carbon-neutral future. </w:t>
      </w:r>
      <w:proofErr w:type="gramStart"/>
      <w:r>
        <w:t>In order to</w:t>
      </w:r>
      <w:proofErr w:type="gramEnd"/>
      <w:r>
        <w:t xml:space="preserve"> achieve this, we in the Hydrogen Alliance work closely with global partners such as Ballard Power Systems and NEUMAN &amp; ESSER.”</w:t>
      </w:r>
    </w:p>
    <w:p w14:paraId="0BE39266" w14:textId="5C70ACED" w:rsidR="00595CFE" w:rsidRPr="00862A79" w:rsidRDefault="00595CFE" w:rsidP="00862A79">
      <w:pPr>
        <w:autoSpaceDE w:val="0"/>
        <w:autoSpaceDN w:val="0"/>
        <w:adjustRightInd w:val="0"/>
        <w:spacing w:after="0"/>
      </w:pPr>
      <w:r>
        <w:t>Anil Reddi, Director of Quantron-as-a-Service: “</w:t>
      </w:r>
      <w:r w:rsidR="00862A79">
        <w:t>We are delighted to be recognised by Frost &amp; Sullivan.</w:t>
      </w:r>
      <w:r w:rsidR="00862A79">
        <w:t xml:space="preserve"> </w:t>
      </w:r>
      <w:r w:rsidR="00862A79">
        <w:t>Quantron-as-a-Service is a product tailored for and with the customer, aiming to become the new standard when it comes to improving efficiency in day-to-day trucking operations, whilst keeping operating costs transparent and predictable for our customers.”</w:t>
      </w:r>
    </w:p>
    <w:p w14:paraId="0BFDFD24" w14:textId="77777777" w:rsidR="00446A46" w:rsidRPr="00A528E4" w:rsidRDefault="00446A46" w:rsidP="006B714D">
      <w:pPr>
        <w:autoSpaceDE w:val="0"/>
        <w:autoSpaceDN w:val="0"/>
        <w:adjustRightInd w:val="0"/>
        <w:spacing w:after="0"/>
      </w:pPr>
    </w:p>
    <w:p w14:paraId="16B40923" w14:textId="352FCFE0" w:rsidR="00B25E92" w:rsidRDefault="00D10948" w:rsidP="00446A46">
      <w:pPr>
        <w:autoSpaceDE w:val="0"/>
        <w:autoSpaceDN w:val="0"/>
        <w:adjustRightInd w:val="0"/>
        <w:spacing w:after="0"/>
      </w:pPr>
      <w:r>
        <w:t xml:space="preserve">Further information on the selection criteria for the </w:t>
      </w:r>
      <w:proofErr w:type="spellStart"/>
      <w:r>
        <w:t>Forst</w:t>
      </w:r>
      <w:proofErr w:type="spellEnd"/>
      <w:r>
        <w:t xml:space="preserve"> &amp; Sullivan Awards and the evaluation of Quantron AG can be found </w:t>
      </w:r>
      <w:hyperlink r:id="rId11" w:history="1">
        <w:r>
          <w:rPr>
            <w:rStyle w:val="Hyperlink"/>
          </w:rPr>
          <w:t>here</w:t>
        </w:r>
      </w:hyperlink>
      <w:r>
        <w:t>.</w:t>
      </w:r>
    </w:p>
    <w:p w14:paraId="4BC363F0" w14:textId="77777777" w:rsidR="00446A46" w:rsidRPr="00446A46" w:rsidRDefault="00446A46" w:rsidP="00446A46">
      <w:pPr>
        <w:autoSpaceDE w:val="0"/>
        <w:autoSpaceDN w:val="0"/>
        <w:adjustRightInd w:val="0"/>
        <w:spacing w:after="0"/>
      </w:pPr>
    </w:p>
    <w:p w14:paraId="21AE9850" w14:textId="03CE6160" w:rsidR="008B7AF6" w:rsidRPr="00FD5A97" w:rsidRDefault="00FD5A97" w:rsidP="00FD5A97">
      <w:r>
        <w:t>Images (click on image preview to download):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EA3B19" w:rsidRPr="00C814C4" w14:paraId="7F26F539" w14:textId="77777777" w:rsidTr="000C4117">
        <w:tc>
          <w:tcPr>
            <w:tcW w:w="4673" w:type="dxa"/>
          </w:tcPr>
          <w:p w14:paraId="29D7B317" w14:textId="19BC80D9" w:rsidR="00EA3B19" w:rsidRDefault="00EA3B19" w:rsidP="00F63FEA">
            <w:pPr>
              <w:spacing w:line="324" w:lineRule="auto"/>
              <w:ind w:right="597"/>
              <w:rPr>
                <w:rFonts w:cstheme="minorHAnsi"/>
                <w:bCs/>
              </w:rPr>
            </w:pPr>
            <w:r>
              <w:rPr>
                <w:noProof/>
              </w:rPr>
              <w:drawing>
                <wp:inline distT="0" distB="0" distL="0" distR="0" wp14:anchorId="4F0F648B" wp14:editId="390E91C7">
                  <wp:extent cx="1620000" cy="1483200"/>
                  <wp:effectExtent l="0" t="0" r="0" b="3175"/>
                  <wp:docPr id="1"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0000" cy="1483200"/>
                          </a:xfrm>
                          <a:prstGeom prst="rect">
                            <a:avLst/>
                          </a:prstGeom>
                          <a:noFill/>
                          <a:ln>
                            <a:noFill/>
                          </a:ln>
                        </pic:spPr>
                      </pic:pic>
                    </a:graphicData>
                  </a:graphic>
                </wp:inline>
              </w:drawing>
            </w:r>
          </w:p>
        </w:tc>
        <w:tc>
          <w:tcPr>
            <w:tcW w:w="4673" w:type="dxa"/>
          </w:tcPr>
          <w:p w14:paraId="52FE4196" w14:textId="2E0BC2CC" w:rsidR="00EA3B19" w:rsidRPr="00EB2817" w:rsidRDefault="00EA3B19" w:rsidP="00F63FEA">
            <w:pPr>
              <w:spacing w:line="324" w:lineRule="auto"/>
              <w:ind w:right="597"/>
              <w:rPr>
                <w:rFonts w:cstheme="minorHAnsi"/>
                <w:bCs/>
              </w:rPr>
            </w:pPr>
            <w:bookmarkStart w:id="0" w:name="_Hlk122446463"/>
            <w:r>
              <w:t xml:space="preserve">QUANTRON is a </w:t>
            </w:r>
            <w:proofErr w:type="spellStart"/>
            <w:r>
              <w:t>prizewinner</w:t>
            </w:r>
            <w:proofErr w:type="spellEnd"/>
            <w:r>
              <w:t xml:space="preserve"> of the Frost &amp; Sullivan Best Practices Award in the category "European Heavy-Duty Fuel-Cell Trucking New Product Innovation"</w:t>
            </w:r>
            <w:bookmarkEnd w:id="0"/>
          </w:p>
        </w:tc>
      </w:tr>
      <w:tr w:rsidR="00EC6913" w:rsidRPr="00C814C4" w14:paraId="0C6E3913" w14:textId="77777777" w:rsidTr="000C4117">
        <w:tc>
          <w:tcPr>
            <w:tcW w:w="4673" w:type="dxa"/>
          </w:tcPr>
          <w:p w14:paraId="5D01C8CF" w14:textId="0955B85D" w:rsidR="00EC6913" w:rsidRPr="00EC6913" w:rsidRDefault="00EE2E18" w:rsidP="00F63FEA">
            <w:pPr>
              <w:spacing w:line="324" w:lineRule="auto"/>
              <w:ind w:right="597"/>
              <w:rPr>
                <w:noProof/>
                <w:color w:val="FF0000"/>
              </w:rPr>
            </w:pPr>
            <w:r>
              <w:rPr>
                <w:noProof/>
              </w:rPr>
              <w:drawing>
                <wp:inline distT="0" distB="0" distL="0" distR="0" wp14:anchorId="388E77BD" wp14:editId="786431BD">
                  <wp:extent cx="1620000" cy="1058400"/>
                  <wp:effectExtent l="0" t="0" r="0" b="8890"/>
                  <wp:docPr id="9" name="Grafik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0000" cy="1058400"/>
                          </a:xfrm>
                          <a:prstGeom prst="rect">
                            <a:avLst/>
                          </a:prstGeom>
                          <a:noFill/>
                          <a:ln>
                            <a:noFill/>
                          </a:ln>
                        </pic:spPr>
                      </pic:pic>
                    </a:graphicData>
                  </a:graphic>
                </wp:inline>
              </w:drawing>
            </w:r>
          </w:p>
        </w:tc>
        <w:tc>
          <w:tcPr>
            <w:tcW w:w="4673" w:type="dxa"/>
          </w:tcPr>
          <w:p w14:paraId="288188EA" w14:textId="286F8813" w:rsidR="00EC6913" w:rsidRPr="00EB2817" w:rsidRDefault="00D11CD5" w:rsidP="00F63FEA">
            <w:pPr>
              <w:spacing w:line="324" w:lineRule="auto"/>
              <w:ind w:right="597"/>
              <w:rPr>
                <w:rFonts w:cstheme="minorHAnsi"/>
                <w:bCs/>
              </w:rPr>
            </w:pPr>
            <w:r>
              <w:t>The QUANTRON QHM FCEV heavy-duty fuel cell truck</w:t>
            </w:r>
          </w:p>
        </w:tc>
      </w:tr>
      <w:tr w:rsidR="00EC6913" w:rsidRPr="00C814C4" w14:paraId="030E6C74" w14:textId="77777777" w:rsidTr="000C4117">
        <w:tc>
          <w:tcPr>
            <w:tcW w:w="4673" w:type="dxa"/>
          </w:tcPr>
          <w:p w14:paraId="03C7B042" w14:textId="186ED33B" w:rsidR="00EC6913" w:rsidRPr="00EC6913" w:rsidRDefault="00C93A45" w:rsidP="00F63FEA">
            <w:pPr>
              <w:spacing w:line="324" w:lineRule="auto"/>
              <w:ind w:right="597"/>
              <w:rPr>
                <w:noProof/>
                <w:color w:val="FF0000"/>
              </w:rPr>
            </w:pPr>
            <w:r>
              <w:rPr>
                <w:noProof/>
              </w:rPr>
              <w:drawing>
                <wp:inline distT="0" distB="0" distL="0" distR="0" wp14:anchorId="6EAA4D55" wp14:editId="02D0581F">
                  <wp:extent cx="1620000" cy="1148400"/>
                  <wp:effectExtent l="0" t="0" r="0" b="0"/>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0000" cy="1148400"/>
                          </a:xfrm>
                          <a:prstGeom prst="rect">
                            <a:avLst/>
                          </a:prstGeom>
                          <a:noFill/>
                          <a:ln>
                            <a:noFill/>
                          </a:ln>
                        </pic:spPr>
                      </pic:pic>
                    </a:graphicData>
                  </a:graphic>
                </wp:inline>
              </w:drawing>
            </w:r>
          </w:p>
        </w:tc>
        <w:tc>
          <w:tcPr>
            <w:tcW w:w="4673" w:type="dxa"/>
          </w:tcPr>
          <w:p w14:paraId="1EC19218" w14:textId="167F3991" w:rsidR="00EC6913" w:rsidRPr="00EB2817" w:rsidRDefault="005F60C1" w:rsidP="00F63FEA">
            <w:pPr>
              <w:spacing w:line="324" w:lineRule="auto"/>
              <w:ind w:right="597"/>
              <w:rPr>
                <w:rFonts w:cstheme="minorHAnsi"/>
                <w:bCs/>
              </w:rPr>
            </w:pPr>
            <w:r>
              <w:t>The Quantron-as-a-Service (</w:t>
            </w:r>
            <w:proofErr w:type="spellStart"/>
            <w:r>
              <w:t>QaaS</w:t>
            </w:r>
            <w:proofErr w:type="spellEnd"/>
            <w:r>
              <w:t>) ecosystem</w:t>
            </w:r>
          </w:p>
        </w:tc>
      </w:tr>
    </w:tbl>
    <w:p w14:paraId="312772B0" w14:textId="77777777" w:rsidR="00E13E09" w:rsidRPr="00EB2817" w:rsidRDefault="00E13E09" w:rsidP="00F63FEA">
      <w:pPr>
        <w:spacing w:line="324" w:lineRule="auto"/>
        <w:ind w:right="597"/>
        <w:rPr>
          <w:rFonts w:cstheme="minorHAnsi"/>
          <w:bCs/>
          <w:lang w:val="en-US"/>
        </w:rPr>
      </w:pPr>
    </w:p>
    <w:p w14:paraId="76E22AD1" w14:textId="2155B7F0" w:rsidR="00F63FEA" w:rsidRPr="00B22998" w:rsidRDefault="00F63FEA" w:rsidP="00F63FEA">
      <w:pPr>
        <w:spacing w:line="324" w:lineRule="auto"/>
        <w:ind w:right="597"/>
        <w:rPr>
          <w:rFonts w:cstheme="minorHAnsi"/>
          <w:b/>
        </w:rPr>
      </w:pPr>
      <w:r>
        <w:t xml:space="preserve">The original </w:t>
      </w:r>
      <w:r w:rsidR="003470C1">
        <w:t>images are</w:t>
      </w:r>
      <w:r>
        <w:t xml:space="preserve"> available in both low and high resolutions here: </w:t>
      </w:r>
      <w:hyperlink r:id="rId18">
        <w:r>
          <w:rPr>
            <w:rStyle w:val="Hyperlink"/>
          </w:rPr>
          <w:t>Quantron AG press releases</w:t>
        </w:r>
      </w:hyperlink>
      <w:r>
        <w:t xml:space="preserve"> (https://www.quantron.net/q-news/pr-berichte/) </w:t>
      </w:r>
    </w:p>
    <w:p w14:paraId="65DE3B4B" w14:textId="77777777" w:rsidR="00AE78E4" w:rsidRDefault="00AE78E4" w:rsidP="002D0904">
      <w:pPr>
        <w:spacing w:after="0" w:line="324" w:lineRule="auto"/>
        <w:rPr>
          <w:rFonts w:cstheme="minorHAnsi"/>
        </w:rPr>
      </w:pPr>
    </w:p>
    <w:p w14:paraId="46A024AA"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Pr>
          <w:rStyle w:val="normaltextrun"/>
          <w:rFonts w:asciiTheme="minorHAnsi" w:hAnsiTheme="minorHAnsi"/>
          <w:b/>
          <w:bCs/>
          <w:i/>
          <w:iCs/>
          <w:sz w:val="22"/>
          <w:szCs w:val="22"/>
        </w:rPr>
        <w:t>About Quantron AG</w:t>
      </w:r>
      <w:r>
        <w:rPr>
          <w:rStyle w:val="eop"/>
          <w:rFonts w:asciiTheme="minorHAnsi" w:hAnsiTheme="minorHAnsi"/>
          <w:sz w:val="22"/>
          <w:szCs w:val="22"/>
        </w:rPr>
        <w:t> </w:t>
      </w:r>
    </w:p>
    <w:p w14:paraId="08AB5ACA" w14:textId="750FE72E"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i/>
          <w:iCs/>
          <w:sz w:val="20"/>
          <w:szCs w:val="20"/>
        </w:rPr>
        <w:t xml:space="preserve"> </w:t>
      </w:r>
      <w:r>
        <w:rPr>
          <w:rStyle w:val="normaltextrun"/>
          <w:rFonts w:ascii="Calibri" w:hAnsi="Calibri"/>
          <w:b/>
          <w:bCs/>
          <w:i/>
          <w:iCs/>
          <w:sz w:val="20"/>
          <w:szCs w:val="20"/>
        </w:rPr>
        <w:t>Quantron AG is a platform provider and specialist in sustainable mobility</w:t>
      </w:r>
      <w:r>
        <w:rPr>
          <w:rStyle w:val="normaltextrun"/>
          <w:rFonts w:ascii="Calibri" w:hAnsi="Calibri"/>
          <w:i/>
          <w:iCs/>
          <w:sz w:val="20"/>
          <w:szCs w:val="20"/>
        </w:rPr>
        <w:t xml:space="preserve"> for people and goods; in particular, for trucks, </w:t>
      </w:r>
      <w:proofErr w:type="gramStart"/>
      <w:r>
        <w:rPr>
          <w:rStyle w:val="normaltextrun"/>
          <w:rFonts w:ascii="Calibri" w:hAnsi="Calibri"/>
          <w:i/>
          <w:iCs/>
          <w:sz w:val="20"/>
          <w:szCs w:val="20"/>
        </w:rPr>
        <w:t>buses</w:t>
      </w:r>
      <w:proofErr w:type="gramEnd"/>
      <w:r>
        <w:rPr>
          <w:rStyle w:val="normaltextrun"/>
          <w:rFonts w:ascii="Calibri" w:hAnsi="Calibri"/>
          <w:i/>
          <w:iCs/>
          <w:sz w:val="20"/>
          <w:szCs w:val="20"/>
        </w:rPr>
        <w:t xml:space="preserve"> and vans with all-electric drive trains and H</w:t>
      </w:r>
      <w:r>
        <w:rPr>
          <w:rStyle w:val="normaltextrun"/>
          <w:rFonts w:ascii="Calibri" w:hAnsi="Calibri"/>
          <w:i/>
          <w:iCs/>
          <w:sz w:val="16"/>
          <w:szCs w:val="16"/>
          <w:vertAlign w:val="subscript"/>
        </w:rPr>
        <w:t>2</w:t>
      </w:r>
      <w:r>
        <w:rPr>
          <w:rStyle w:val="normaltextrun"/>
          <w:rFonts w:ascii="Calibri" w:hAnsi="Calibri"/>
          <w:i/>
          <w:iCs/>
          <w:sz w:val="20"/>
          <w:szCs w:val="20"/>
        </w:rPr>
        <w:t>fuel cell technology. As a high-tech spin-off of the renowned Haller KG, the Augsburg/Bavaria-based company combines more than 140 years of commercial vehicle experience with the very latest e-mobility know-how, and positions itself globally as a partner to existing OEMs. </w:t>
      </w:r>
      <w:r>
        <w:rPr>
          <w:rStyle w:val="eop"/>
          <w:rFonts w:ascii="Calibri" w:hAnsi="Calibri"/>
          <w:sz w:val="20"/>
          <w:szCs w:val="20"/>
        </w:rPr>
        <w:t> </w:t>
      </w:r>
    </w:p>
    <w:p w14:paraId="30C6A05F" w14:textId="47E73A34"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i/>
          <w:iCs/>
          <w:sz w:val="20"/>
          <w:szCs w:val="20"/>
        </w:rPr>
        <w:t xml:space="preserve">With the </w:t>
      </w:r>
      <w:r>
        <w:rPr>
          <w:rStyle w:val="normaltextrun"/>
          <w:rFonts w:ascii="Calibri" w:hAnsi="Calibri"/>
          <w:b/>
          <w:bCs/>
          <w:i/>
          <w:iCs/>
          <w:sz w:val="20"/>
          <w:szCs w:val="20"/>
        </w:rPr>
        <w:t>Quantron-as-a-Service Ecosystem</w:t>
      </w:r>
      <w:r>
        <w:rPr>
          <w:rStyle w:val="normaltextrun"/>
          <w:rFonts w:ascii="Calibri" w:hAnsi="Calibri"/>
          <w:i/>
          <w:iCs/>
          <w:sz w:val="20"/>
          <w:szCs w:val="20"/>
        </w:rPr>
        <w:t xml:space="preserve"> (</w:t>
      </w:r>
      <w:proofErr w:type="spellStart"/>
      <w:r>
        <w:rPr>
          <w:rStyle w:val="normaltextrun"/>
          <w:rFonts w:ascii="Calibri" w:hAnsi="Calibri"/>
          <w:i/>
          <w:iCs/>
          <w:sz w:val="20"/>
          <w:szCs w:val="20"/>
        </w:rPr>
        <w:t>QaaS</w:t>
      </w:r>
      <w:proofErr w:type="spellEnd"/>
      <w:r>
        <w:rPr>
          <w:rStyle w:val="normaltextrun"/>
          <w:rFonts w:ascii="Calibri" w:hAnsi="Calibri"/>
          <w:i/>
          <w:iCs/>
          <w:sz w:val="20"/>
          <w:szCs w:val="20"/>
        </w:rPr>
        <w:t xml:space="preserve">), QUANTRON offers an overall concept that includes all facets of the mobility value-added chain: </w:t>
      </w:r>
      <w:r>
        <w:rPr>
          <w:rStyle w:val="normaltextrun"/>
          <w:rFonts w:ascii="Calibri" w:hAnsi="Calibri"/>
          <w:b/>
          <w:bCs/>
          <w:i/>
          <w:iCs/>
          <w:sz w:val="20"/>
          <w:szCs w:val="20"/>
        </w:rPr>
        <w:t>QUANTRON INSIDE</w:t>
      </w:r>
      <w:r>
        <w:rPr>
          <w:rStyle w:val="normaltextrun"/>
          <w:rFonts w:ascii="Calibri" w:hAnsi="Calibri"/>
          <w:i/>
          <w:iCs/>
          <w:sz w:val="20"/>
          <w:szCs w:val="20"/>
        </w:rPr>
        <w:t xml:space="preserve"> includes a wide range of new vehicles as well as conversions for existing and used vehicles from diesel to battery and hydrogen-electric drives with the highly innovative </w:t>
      </w:r>
      <w:r>
        <w:rPr>
          <w:rStyle w:val="normaltextrun"/>
          <w:rFonts w:ascii="Calibri" w:hAnsi="Calibri"/>
          <w:b/>
          <w:bCs/>
          <w:i/>
          <w:iCs/>
          <w:sz w:val="20"/>
          <w:szCs w:val="20"/>
        </w:rPr>
        <w:t>QUANTRON INSIDE</w:t>
      </w:r>
      <w:r>
        <w:rPr>
          <w:rStyle w:val="normaltextrun"/>
          <w:rFonts w:ascii="Calibri" w:hAnsi="Calibri"/>
          <w:i/>
          <w:iCs/>
          <w:sz w:val="20"/>
          <w:szCs w:val="20"/>
        </w:rPr>
        <w:t xml:space="preserve"> technology. In addition, Quantron AG markets and sells batteries and integrated, customised electrification concepts. With a Europe-wide network of 700 service partners,</w:t>
      </w:r>
      <w:r>
        <w:rPr>
          <w:rStyle w:val="normaltextrun"/>
          <w:rFonts w:ascii="Calibri" w:hAnsi="Calibri"/>
          <w:b/>
          <w:bCs/>
          <w:i/>
          <w:iCs/>
          <w:sz w:val="20"/>
          <w:szCs w:val="20"/>
        </w:rPr>
        <w:t xml:space="preserve"> CUSTOMER SOLUTIONS</w:t>
      </w:r>
      <w:r>
        <w:rPr>
          <w:rStyle w:val="normaltextrun"/>
          <w:rFonts w:ascii="Calibri" w:hAnsi="Calibri"/>
          <w:i/>
          <w:iCs/>
          <w:sz w:val="20"/>
          <w:szCs w:val="20"/>
        </w:rPr>
        <w:t xml:space="preserve"> guarantees digital and physical after-sales solutions along with a range of services for maintenance, repairs and spare parts, telematics and in-cloud solutions for remote diagnosis and fleet management. Customers receive individual advice on, among other things, tailored charging and tank solutions, rental, </w:t>
      </w:r>
      <w:proofErr w:type="gramStart"/>
      <w:r>
        <w:rPr>
          <w:rStyle w:val="normaltextrun"/>
          <w:rFonts w:ascii="Calibri" w:hAnsi="Calibri"/>
          <w:i/>
          <w:iCs/>
          <w:sz w:val="20"/>
          <w:szCs w:val="20"/>
        </w:rPr>
        <w:t>financing</w:t>
      </w:r>
      <w:proofErr w:type="gramEnd"/>
      <w:r>
        <w:rPr>
          <w:rStyle w:val="normaltextrun"/>
          <w:rFonts w:ascii="Calibri" w:hAnsi="Calibri"/>
          <w:i/>
          <w:iCs/>
          <w:sz w:val="20"/>
          <w:szCs w:val="20"/>
        </w:rPr>
        <w:t xml:space="preserve"> and leasing offers. Training courses and workshops are also offered in the QUANTRON Academy. In the future, </w:t>
      </w:r>
      <w:r>
        <w:rPr>
          <w:rStyle w:val="normaltextrun"/>
          <w:rFonts w:ascii="Calibri" w:hAnsi="Calibri"/>
          <w:b/>
          <w:bCs/>
          <w:i/>
          <w:iCs/>
          <w:sz w:val="20"/>
          <w:szCs w:val="20"/>
        </w:rPr>
        <w:t>QUANTRON ENERGY</w:t>
      </w:r>
      <w:r>
        <w:rPr>
          <w:rStyle w:val="normaltextrun"/>
          <w:rFonts w:ascii="Calibri" w:hAnsi="Calibri"/>
          <w:i/>
          <w:iCs/>
          <w:sz w:val="20"/>
          <w:szCs w:val="20"/>
        </w:rPr>
        <w:t xml:space="preserve"> will realise the production of green hydrogen and electricity as a platform. To this end, Quantron AG has teamed up with </w:t>
      </w:r>
      <w:proofErr w:type="gramStart"/>
      <w:r>
        <w:rPr>
          <w:rStyle w:val="normaltextrun"/>
          <w:rFonts w:ascii="Calibri" w:hAnsi="Calibri"/>
          <w:i/>
          <w:iCs/>
          <w:sz w:val="20"/>
          <w:szCs w:val="20"/>
        </w:rPr>
        <w:t>a number of</w:t>
      </w:r>
      <w:proofErr w:type="gramEnd"/>
      <w:r>
        <w:rPr>
          <w:rStyle w:val="normaltextrun"/>
          <w:rFonts w:ascii="Calibri" w:hAnsi="Calibri"/>
          <w:i/>
          <w:iCs/>
          <w:sz w:val="20"/>
          <w:szCs w:val="20"/>
        </w:rPr>
        <w:t xml:space="preserve"> strong global partners. At the same time, this Hydrogen Alliance is also an important building block for the </w:t>
      </w:r>
      <w:r>
        <w:rPr>
          <w:rStyle w:val="normaltextrun"/>
          <w:rFonts w:ascii="Calibri" w:hAnsi="Calibri"/>
          <w:b/>
          <w:bCs/>
          <w:i/>
          <w:iCs/>
          <w:sz w:val="20"/>
          <w:szCs w:val="20"/>
        </w:rPr>
        <w:t>QUANTRON POWER STATION</w:t>
      </w:r>
      <w:r>
        <w:rPr>
          <w:rStyle w:val="normaltextrun"/>
          <w:rFonts w:ascii="Calibri" w:hAnsi="Calibri"/>
          <w:i/>
          <w:iCs/>
          <w:sz w:val="20"/>
          <w:szCs w:val="20"/>
        </w:rPr>
        <w:t>, the supply of vehicles with the necessary green charging and H2-tank infrastructure.</w:t>
      </w:r>
      <w:r>
        <w:rPr>
          <w:rStyle w:val="eop"/>
          <w:rFonts w:ascii="Calibri" w:hAnsi="Calibri"/>
          <w:sz w:val="20"/>
          <w:szCs w:val="20"/>
        </w:rPr>
        <w:t> </w:t>
      </w:r>
    </w:p>
    <w:p w14:paraId="4F031DB3" w14:textId="0CB0AA85"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i/>
          <w:iCs/>
          <w:sz w:val="20"/>
          <w:szCs w:val="20"/>
        </w:rPr>
        <w:t>QUANTRON stands for the core values RELIABLE, ENERGETIC, BRAVE. The team of experts at the innovation driver for e-mobility is making a significant contribution to sustainable, environmentally friendly passenger and freight transport.</w:t>
      </w:r>
    </w:p>
    <w:p w14:paraId="459736EA" w14:textId="4E40FA82" w:rsidR="00DC162F" w:rsidRDefault="00DC162F" w:rsidP="00012157">
      <w:pPr>
        <w:pStyle w:val="paragraph"/>
        <w:spacing w:before="240" w:beforeAutospacing="0" w:after="0" w:afterAutospacing="0"/>
        <w:jc w:val="both"/>
        <w:textAlignment w:val="baseline"/>
        <w:rPr>
          <w:rStyle w:val="eop"/>
          <w:rFonts w:ascii="Calibri" w:hAnsi="Calibri"/>
          <w:sz w:val="20"/>
          <w:szCs w:val="20"/>
        </w:rPr>
      </w:pPr>
      <w:r>
        <w:rPr>
          <w:rStyle w:val="normaltextrun"/>
          <w:rFonts w:ascii="Calibri" w:hAnsi="Calibri"/>
          <w:i/>
          <w:iCs/>
          <w:sz w:val="20"/>
          <w:szCs w:val="20"/>
        </w:rPr>
        <w:t>Visit Quantron AG on our social media channels on</w:t>
      </w:r>
      <w:r w:rsidR="003470C1">
        <w:rPr>
          <w:rStyle w:val="normaltextrun"/>
          <w:rFonts w:ascii="Calibri" w:hAnsi="Calibri"/>
          <w:i/>
          <w:iCs/>
          <w:sz w:val="20"/>
          <w:szCs w:val="20"/>
        </w:rPr>
        <w:t xml:space="preserve"> </w:t>
      </w:r>
      <w:hyperlink r:id="rId19" w:history="1">
        <w:r w:rsidR="003470C1" w:rsidRPr="006151C8">
          <w:rPr>
            <w:rStyle w:val="Hyperlink"/>
            <w:rFonts w:ascii="Calibri" w:hAnsi="Calibri"/>
            <w:i/>
            <w:iCs/>
            <w:sz w:val="20"/>
            <w:szCs w:val="20"/>
          </w:rPr>
          <w:t>LinkedIn</w:t>
        </w:r>
      </w:hyperlink>
      <w:r>
        <w:rPr>
          <w:rStyle w:val="normaltextrun"/>
          <w:rFonts w:ascii="Calibri" w:hAnsi="Calibri"/>
          <w:i/>
          <w:iCs/>
          <w:sz w:val="20"/>
          <w:szCs w:val="20"/>
        </w:rPr>
        <w:t xml:space="preserve"> and </w:t>
      </w:r>
      <w:hyperlink r:id="rId20" w:tgtFrame="_blank" w:history="1">
        <w:r>
          <w:rPr>
            <w:rStyle w:val="normaltextrun"/>
            <w:rFonts w:ascii="Calibri" w:hAnsi="Calibri"/>
            <w:i/>
            <w:iCs/>
            <w:color w:val="0000FF"/>
            <w:sz w:val="20"/>
            <w:szCs w:val="20"/>
            <w:u w:val="single"/>
          </w:rPr>
          <w:t>YouTube</w:t>
        </w:r>
      </w:hyperlink>
      <w:r>
        <w:rPr>
          <w:rStyle w:val="normaltextrun"/>
          <w:rFonts w:ascii="Calibri" w:hAnsi="Calibri"/>
          <w:i/>
          <w:iCs/>
          <w:sz w:val="20"/>
          <w:szCs w:val="20"/>
        </w:rPr>
        <w:t xml:space="preserve">. More </w:t>
      </w:r>
      <w:proofErr w:type="spellStart"/>
      <w:r>
        <w:rPr>
          <w:rStyle w:val="normaltextrun"/>
          <w:rFonts w:ascii="Calibri" w:hAnsi="Calibri"/>
          <w:i/>
          <w:iCs/>
          <w:sz w:val="20"/>
          <w:szCs w:val="20"/>
        </w:rPr>
        <w:t>informationen</w:t>
      </w:r>
      <w:proofErr w:type="spellEnd"/>
      <w:r>
        <w:rPr>
          <w:rStyle w:val="normaltextrun"/>
          <w:rFonts w:ascii="Calibri" w:hAnsi="Calibri"/>
          <w:i/>
          <w:iCs/>
          <w:sz w:val="20"/>
          <w:szCs w:val="20"/>
        </w:rPr>
        <w:t xml:space="preserve"> available at </w:t>
      </w:r>
      <w:hyperlink r:id="rId21" w:tgtFrame="_blank" w:history="1">
        <w:r>
          <w:rPr>
            <w:rStyle w:val="normaltextrun"/>
            <w:rFonts w:ascii="Calibri" w:hAnsi="Calibri"/>
            <w:i/>
            <w:iCs/>
            <w:color w:val="0000FF"/>
            <w:sz w:val="20"/>
            <w:szCs w:val="20"/>
            <w:u w:val="single"/>
          </w:rPr>
          <w:t>www.quantron.net</w:t>
        </w:r>
      </w:hyperlink>
      <w:r>
        <w:rPr>
          <w:rStyle w:val="eop"/>
          <w:rFonts w:ascii="Calibri" w:hAnsi="Calibri"/>
          <w:sz w:val="20"/>
          <w:szCs w:val="20"/>
        </w:rPr>
        <w:t> </w:t>
      </w:r>
    </w:p>
    <w:p w14:paraId="6543CCAD" w14:textId="77777777" w:rsidR="003470C1" w:rsidRPr="00332F4F" w:rsidRDefault="003470C1" w:rsidP="00012157">
      <w:pPr>
        <w:pStyle w:val="paragraph"/>
        <w:spacing w:before="240" w:beforeAutospacing="0" w:after="0" w:afterAutospacing="0"/>
        <w:jc w:val="both"/>
        <w:textAlignment w:val="baseline"/>
        <w:rPr>
          <w:rFonts w:ascii="Segoe UI" w:hAnsi="Segoe UI" w:cs="Segoe UI"/>
          <w:sz w:val="18"/>
          <w:szCs w:val="18"/>
        </w:rPr>
      </w:pPr>
    </w:p>
    <w:p w14:paraId="55229582"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rPr>
      </w:pPr>
      <w:r>
        <w:rPr>
          <w:rStyle w:val="eop"/>
          <w:rFonts w:ascii="Calibri" w:hAnsi="Calibri"/>
          <w:sz w:val="20"/>
          <w:szCs w:val="20"/>
        </w:rPr>
        <w:t> </w:t>
      </w:r>
    </w:p>
    <w:p w14:paraId="2ACE88A6" w14:textId="77777777" w:rsidR="00DC162F" w:rsidRPr="00332F4F" w:rsidRDefault="00DC162F" w:rsidP="00DC162F">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b/>
          <w:bCs/>
          <w:sz w:val="22"/>
          <w:szCs w:val="22"/>
        </w:rPr>
        <w:t>Contact persons: </w:t>
      </w:r>
      <w:r>
        <w:rPr>
          <w:rStyle w:val="eop"/>
          <w:rFonts w:asciiTheme="minorHAnsi" w:hAnsiTheme="minorHAnsi"/>
          <w:sz w:val="22"/>
          <w:szCs w:val="22"/>
        </w:rPr>
        <w:t> </w:t>
      </w:r>
    </w:p>
    <w:p w14:paraId="6F555A6B" w14:textId="7D337B19" w:rsidR="00971D89" w:rsidRPr="00332F4F" w:rsidRDefault="00971D89" w:rsidP="00DC162F">
      <w:pPr>
        <w:pStyle w:val="paragraph"/>
        <w:spacing w:before="0" w:beforeAutospacing="0" w:after="0" w:afterAutospacing="0"/>
        <w:textAlignment w:val="baseline"/>
        <w:rPr>
          <w:rFonts w:ascii="Segoe UI" w:hAnsi="Segoe UI" w:cs="Segoe UI"/>
          <w:sz w:val="18"/>
          <w:szCs w:val="18"/>
        </w:rPr>
      </w:pPr>
      <w:r>
        <w:rPr>
          <w:rFonts w:asciiTheme="minorHAnsi" w:hAnsiTheme="minorHAnsi"/>
          <w:color w:val="000000" w:themeColor="text1"/>
        </w:rPr>
        <w:t xml:space="preserve">Jörg Zwilling, Director Global Communication &amp; Business Development, </w:t>
      </w:r>
      <w:hyperlink r:id="rId22" w:history="1">
        <w:r>
          <w:rPr>
            <w:rStyle w:val="normaltextrun"/>
            <w:rFonts w:ascii="Calibri" w:hAnsi="Calibri"/>
            <w:color w:val="0000FF"/>
            <w:sz w:val="22"/>
            <w:szCs w:val="22"/>
            <w:u w:val="single"/>
          </w:rPr>
          <w:t>j.zwilling@quantron.net</w:t>
        </w:r>
      </w:hyperlink>
    </w:p>
    <w:p w14:paraId="1EFF621C"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2"/>
          <w:szCs w:val="22"/>
        </w:rPr>
        <w:t xml:space="preserve">Stephanie Miller, Marketing &amp; Communications Quantron AG, </w:t>
      </w:r>
      <w:hyperlink r:id="rId23" w:tgtFrame="_blank" w:history="1">
        <w:r>
          <w:rPr>
            <w:rStyle w:val="normaltextrun"/>
            <w:rFonts w:ascii="Calibri" w:hAnsi="Calibri"/>
            <w:color w:val="0000FF"/>
            <w:sz w:val="22"/>
            <w:szCs w:val="22"/>
            <w:u w:val="single"/>
          </w:rPr>
          <w:t>presse@quantron.net</w:t>
        </w:r>
      </w:hyperlink>
      <w:r>
        <w:rPr>
          <w:rStyle w:val="eop"/>
          <w:rFonts w:ascii="Calibri" w:hAnsi="Calibri"/>
          <w:sz w:val="22"/>
          <w:szCs w:val="22"/>
        </w:rPr>
        <w:t> </w:t>
      </w:r>
    </w:p>
    <w:p w14:paraId="50BE927F" w14:textId="4670E0D2" w:rsidR="0026162A" w:rsidRPr="00D44F76" w:rsidRDefault="0026162A" w:rsidP="00A63031">
      <w:pPr>
        <w:rPr>
          <w:i/>
          <w:iCs/>
          <w:sz w:val="20"/>
          <w:szCs w:val="20"/>
          <w:lang w:val="en-US"/>
        </w:rPr>
      </w:pPr>
    </w:p>
    <w:sectPr w:rsidR="0026162A" w:rsidRPr="00D44F76" w:rsidSect="007E6A5C">
      <w:headerReference w:type="default" r:id="rId24"/>
      <w:footerReference w:type="default" r:id="rId25"/>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5B88" w14:textId="77777777" w:rsidR="00F46232" w:rsidRDefault="00F46232" w:rsidP="00AE78E4">
      <w:pPr>
        <w:spacing w:after="0" w:line="240" w:lineRule="auto"/>
      </w:pPr>
      <w:r>
        <w:separator/>
      </w:r>
    </w:p>
  </w:endnote>
  <w:endnote w:type="continuationSeparator" w:id="0">
    <w:p w14:paraId="76047BC3" w14:textId="77777777" w:rsidR="00F46232" w:rsidRDefault="00F46232" w:rsidP="00AE78E4">
      <w:pPr>
        <w:spacing w:after="0" w:line="240" w:lineRule="auto"/>
      </w:pPr>
      <w:r>
        <w:continuationSeparator/>
      </w:r>
    </w:p>
  </w:endnote>
  <w:endnote w:type="continuationNotice" w:id="1">
    <w:p w14:paraId="7C7950F1" w14:textId="77777777" w:rsidR="00F46232" w:rsidRDefault="00F46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3470C1" w:rsidRDefault="000944FD" w:rsidP="001A0965">
    <w:pPr>
      <w:pStyle w:val="Fuzeile"/>
      <w:rPr>
        <w:b/>
        <w:color w:val="595959" w:themeColor="text1" w:themeTint="A6"/>
        <w:sz w:val="20"/>
        <w:szCs w:val="20"/>
        <w:lang w:val="de-DE"/>
      </w:rPr>
    </w:pPr>
    <w:r w:rsidRPr="003470C1">
      <w:rPr>
        <w:b/>
        <w:bCs/>
        <w:sz w:val="20"/>
        <w:szCs w:val="20"/>
        <w:lang w:val="de-DE"/>
      </w:rPr>
      <w:t>Quantron AG</w:t>
    </w:r>
  </w:p>
  <w:p w14:paraId="6E6B60D9" w14:textId="77777777" w:rsidR="002D0904" w:rsidRPr="003470C1" w:rsidRDefault="002D0904" w:rsidP="001A0965">
    <w:pPr>
      <w:pStyle w:val="Fuzeile"/>
      <w:rPr>
        <w:color w:val="595959" w:themeColor="text1" w:themeTint="A6"/>
        <w:sz w:val="20"/>
        <w:lang w:val="de-DE"/>
      </w:rPr>
    </w:pPr>
    <w:r w:rsidRPr="003470C1">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2BD3F232"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color w:val="0971B7"/>
                              <w:sz w:val="16"/>
                              <w:szCs w:val="16"/>
                            </w:rPr>
                            <w:t>2</w:t>
                          </w:r>
                          <w:r w:rsidR="00475C54" w:rsidRPr="00790717">
                            <w:rPr>
                              <w:bCs/>
                              <w:color w:val="0971B7"/>
                              <w:sz w:val="16"/>
                              <w:szCs w:val="16"/>
                            </w:rPr>
                            <w:fldChar w:fldCharType="end"/>
                          </w:r>
                          <w:r>
                            <w:rPr>
                              <w:color w:val="0971B7"/>
                              <w:sz w:val="16"/>
                              <w:szCs w:val="16"/>
                            </w:rPr>
                            <w:t xml:space="preserve"> of </w:t>
                          </w:r>
                          <w:r w:rsidR="003470C1">
                            <w:rPr>
                              <w:color w:val="0971B7"/>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2BD3F232"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color w:val="0971B7"/>
                        <w:sz w:val="16"/>
                        <w:szCs w:val="16"/>
                      </w:rPr>
                      <w:t>2</w:t>
                    </w:r>
                    <w:r w:rsidR="00475C54" w:rsidRPr="00790717">
                      <w:rPr>
                        <w:bCs/>
                        <w:color w:val="0971B7"/>
                        <w:sz w:val="16"/>
                        <w:szCs w:val="16"/>
                      </w:rPr>
                      <w:fldChar w:fldCharType="end"/>
                    </w:r>
                    <w:r>
                      <w:rPr>
                        <w:color w:val="0971B7"/>
                        <w:sz w:val="16"/>
                        <w:szCs w:val="16"/>
                      </w:rPr>
                      <w:t xml:space="preserve"> of </w:t>
                    </w:r>
                    <w:r w:rsidR="003470C1">
                      <w:rPr>
                        <w:color w:val="0971B7"/>
                        <w:sz w:val="16"/>
                        <w:szCs w:val="16"/>
                      </w:rPr>
                      <w:t>3</w:t>
                    </w:r>
                  </w:p>
                </w:txbxContent>
              </v:textbox>
              <w10:wrap type="square"/>
            </v:shape>
          </w:pict>
        </mc:Fallback>
      </mc:AlternateContent>
    </w:r>
    <w:r>
      <w:rPr>
        <w:noProof/>
        <w:color w:val="595959" w:themeColor="text1" w:themeTint="A6"/>
        <w:sz w:val="20"/>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36FFE759"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40F9" w14:textId="77777777" w:rsidR="00F46232" w:rsidRDefault="00F46232" w:rsidP="00AE78E4">
      <w:pPr>
        <w:spacing w:after="0" w:line="240" w:lineRule="auto"/>
      </w:pPr>
      <w:r>
        <w:separator/>
      </w:r>
    </w:p>
  </w:footnote>
  <w:footnote w:type="continuationSeparator" w:id="0">
    <w:p w14:paraId="3F460B41" w14:textId="77777777" w:rsidR="00F46232" w:rsidRDefault="00F46232" w:rsidP="00AE78E4">
      <w:pPr>
        <w:spacing w:after="0" w:line="240" w:lineRule="auto"/>
      </w:pPr>
      <w:r>
        <w:continuationSeparator/>
      </w:r>
    </w:p>
  </w:footnote>
  <w:footnote w:type="continuationNotice" w:id="1">
    <w:p w14:paraId="65D7D1F1" w14:textId="77777777" w:rsidR="00F46232" w:rsidRDefault="00F462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pPr>
    <w:r>
      <w:rPr>
        <w:noProof/>
      </w:rPr>
      <w:drawing>
        <wp:anchor distT="0" distB="0" distL="114300" distR="114300" simplePos="0" relativeHeight="251658242"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6EA9"/>
    <w:rsid w:val="000117DC"/>
    <w:rsid w:val="00012157"/>
    <w:rsid w:val="00017F46"/>
    <w:rsid w:val="00025DED"/>
    <w:rsid w:val="0003259C"/>
    <w:rsid w:val="000344BA"/>
    <w:rsid w:val="00035FFF"/>
    <w:rsid w:val="000371E5"/>
    <w:rsid w:val="0004014A"/>
    <w:rsid w:val="00054DE0"/>
    <w:rsid w:val="000928E5"/>
    <w:rsid w:val="000944FD"/>
    <w:rsid w:val="00097074"/>
    <w:rsid w:val="000C4117"/>
    <w:rsid w:val="000C6948"/>
    <w:rsid w:val="000C71F9"/>
    <w:rsid w:val="000E6A04"/>
    <w:rsid w:val="00101C69"/>
    <w:rsid w:val="0011241D"/>
    <w:rsid w:val="00113E8F"/>
    <w:rsid w:val="00133769"/>
    <w:rsid w:val="001354BA"/>
    <w:rsid w:val="00137966"/>
    <w:rsid w:val="001417A9"/>
    <w:rsid w:val="00150D45"/>
    <w:rsid w:val="001536A5"/>
    <w:rsid w:val="00154823"/>
    <w:rsid w:val="00155510"/>
    <w:rsid w:val="0016309B"/>
    <w:rsid w:val="00172BB1"/>
    <w:rsid w:val="00182B88"/>
    <w:rsid w:val="001875DD"/>
    <w:rsid w:val="00195C88"/>
    <w:rsid w:val="001A0965"/>
    <w:rsid w:val="001A1178"/>
    <w:rsid w:val="001A52B1"/>
    <w:rsid w:val="001A5F0C"/>
    <w:rsid w:val="001B2CB9"/>
    <w:rsid w:val="001B63EE"/>
    <w:rsid w:val="001C3445"/>
    <w:rsid w:val="001C3B18"/>
    <w:rsid w:val="001D2D84"/>
    <w:rsid w:val="001D6C01"/>
    <w:rsid w:val="001D75BD"/>
    <w:rsid w:val="001E16CA"/>
    <w:rsid w:val="001E1C2B"/>
    <w:rsid w:val="001E3047"/>
    <w:rsid w:val="001F3857"/>
    <w:rsid w:val="001F47AD"/>
    <w:rsid w:val="00217303"/>
    <w:rsid w:val="00221D25"/>
    <w:rsid w:val="0022565D"/>
    <w:rsid w:val="00225B56"/>
    <w:rsid w:val="002353A6"/>
    <w:rsid w:val="0024135C"/>
    <w:rsid w:val="0025057D"/>
    <w:rsid w:val="0025461D"/>
    <w:rsid w:val="002551D8"/>
    <w:rsid w:val="0026162A"/>
    <w:rsid w:val="00262DBB"/>
    <w:rsid w:val="00267DB4"/>
    <w:rsid w:val="00273889"/>
    <w:rsid w:val="00275C5D"/>
    <w:rsid w:val="00277052"/>
    <w:rsid w:val="00293139"/>
    <w:rsid w:val="002975E2"/>
    <w:rsid w:val="002B0468"/>
    <w:rsid w:val="002B310C"/>
    <w:rsid w:val="002C64E1"/>
    <w:rsid w:val="002C7249"/>
    <w:rsid w:val="002D0904"/>
    <w:rsid w:val="002D2A7E"/>
    <w:rsid w:val="002E51EA"/>
    <w:rsid w:val="002E620E"/>
    <w:rsid w:val="002E7946"/>
    <w:rsid w:val="002F397F"/>
    <w:rsid w:val="002F5AE4"/>
    <w:rsid w:val="002F6662"/>
    <w:rsid w:val="002F7680"/>
    <w:rsid w:val="003031FD"/>
    <w:rsid w:val="00312572"/>
    <w:rsid w:val="0031291C"/>
    <w:rsid w:val="003172FA"/>
    <w:rsid w:val="00320FE3"/>
    <w:rsid w:val="0032393F"/>
    <w:rsid w:val="00332F4F"/>
    <w:rsid w:val="003470C1"/>
    <w:rsid w:val="0035076A"/>
    <w:rsid w:val="00351053"/>
    <w:rsid w:val="0036362A"/>
    <w:rsid w:val="00370BC2"/>
    <w:rsid w:val="0037303E"/>
    <w:rsid w:val="00377865"/>
    <w:rsid w:val="003824EA"/>
    <w:rsid w:val="0039042C"/>
    <w:rsid w:val="003A1EF1"/>
    <w:rsid w:val="003B237E"/>
    <w:rsid w:val="003C0EF8"/>
    <w:rsid w:val="003C6A2A"/>
    <w:rsid w:val="003C6BB1"/>
    <w:rsid w:val="003E700E"/>
    <w:rsid w:val="003F1AAC"/>
    <w:rsid w:val="003F6267"/>
    <w:rsid w:val="003F63B3"/>
    <w:rsid w:val="00401889"/>
    <w:rsid w:val="00407AFD"/>
    <w:rsid w:val="00426A04"/>
    <w:rsid w:val="00430B45"/>
    <w:rsid w:val="00446A46"/>
    <w:rsid w:val="00453E9E"/>
    <w:rsid w:val="004610D8"/>
    <w:rsid w:val="00473615"/>
    <w:rsid w:val="00475C54"/>
    <w:rsid w:val="00485C4A"/>
    <w:rsid w:val="0048625B"/>
    <w:rsid w:val="004954AD"/>
    <w:rsid w:val="00497B37"/>
    <w:rsid w:val="004A2B2D"/>
    <w:rsid w:val="004B32B0"/>
    <w:rsid w:val="004B3DD1"/>
    <w:rsid w:val="004C6AD0"/>
    <w:rsid w:val="004E1467"/>
    <w:rsid w:val="004F35A7"/>
    <w:rsid w:val="005012F4"/>
    <w:rsid w:val="00504F1D"/>
    <w:rsid w:val="005076BD"/>
    <w:rsid w:val="00515CF1"/>
    <w:rsid w:val="005237DD"/>
    <w:rsid w:val="005240B0"/>
    <w:rsid w:val="005248CC"/>
    <w:rsid w:val="00525EFE"/>
    <w:rsid w:val="0052668B"/>
    <w:rsid w:val="0053512B"/>
    <w:rsid w:val="00536239"/>
    <w:rsid w:val="005523C0"/>
    <w:rsid w:val="005529B3"/>
    <w:rsid w:val="005546AA"/>
    <w:rsid w:val="0056386B"/>
    <w:rsid w:val="00576A09"/>
    <w:rsid w:val="00592440"/>
    <w:rsid w:val="00595CFE"/>
    <w:rsid w:val="005D2334"/>
    <w:rsid w:val="005D2817"/>
    <w:rsid w:val="005E2014"/>
    <w:rsid w:val="005E78FC"/>
    <w:rsid w:val="005F0DA6"/>
    <w:rsid w:val="005F60C1"/>
    <w:rsid w:val="00621987"/>
    <w:rsid w:val="006369DD"/>
    <w:rsid w:val="00637948"/>
    <w:rsid w:val="00647C8C"/>
    <w:rsid w:val="00662A6B"/>
    <w:rsid w:val="00664BFE"/>
    <w:rsid w:val="00671A6F"/>
    <w:rsid w:val="0069112E"/>
    <w:rsid w:val="006B0E2C"/>
    <w:rsid w:val="006B714D"/>
    <w:rsid w:val="006B7543"/>
    <w:rsid w:val="006C1481"/>
    <w:rsid w:val="006C35E2"/>
    <w:rsid w:val="006D7265"/>
    <w:rsid w:val="006F1B77"/>
    <w:rsid w:val="00705344"/>
    <w:rsid w:val="007059E0"/>
    <w:rsid w:val="007137AB"/>
    <w:rsid w:val="0071558E"/>
    <w:rsid w:val="0071627E"/>
    <w:rsid w:val="0074160C"/>
    <w:rsid w:val="00745FEA"/>
    <w:rsid w:val="00754015"/>
    <w:rsid w:val="007628A4"/>
    <w:rsid w:val="00765A3D"/>
    <w:rsid w:val="00765BB9"/>
    <w:rsid w:val="00775363"/>
    <w:rsid w:val="00776D92"/>
    <w:rsid w:val="0078500E"/>
    <w:rsid w:val="00790717"/>
    <w:rsid w:val="007B29FD"/>
    <w:rsid w:val="007B31E6"/>
    <w:rsid w:val="007B38BF"/>
    <w:rsid w:val="007D1D18"/>
    <w:rsid w:val="007D27BB"/>
    <w:rsid w:val="007D2FC7"/>
    <w:rsid w:val="007E37C8"/>
    <w:rsid w:val="007E5F19"/>
    <w:rsid w:val="007E6A5C"/>
    <w:rsid w:val="007F3AB0"/>
    <w:rsid w:val="00800482"/>
    <w:rsid w:val="00802124"/>
    <w:rsid w:val="00804263"/>
    <w:rsid w:val="008103CB"/>
    <w:rsid w:val="00811A60"/>
    <w:rsid w:val="008269B4"/>
    <w:rsid w:val="00846EF3"/>
    <w:rsid w:val="00851E16"/>
    <w:rsid w:val="00851F4C"/>
    <w:rsid w:val="0085284F"/>
    <w:rsid w:val="00862A79"/>
    <w:rsid w:val="00863593"/>
    <w:rsid w:val="0088064F"/>
    <w:rsid w:val="00882BDB"/>
    <w:rsid w:val="008838EC"/>
    <w:rsid w:val="008A116F"/>
    <w:rsid w:val="008A41D6"/>
    <w:rsid w:val="008B421F"/>
    <w:rsid w:val="008B6FC1"/>
    <w:rsid w:val="008B735F"/>
    <w:rsid w:val="008B7AF6"/>
    <w:rsid w:val="008B7FA8"/>
    <w:rsid w:val="008D4615"/>
    <w:rsid w:val="008D575A"/>
    <w:rsid w:val="008E251B"/>
    <w:rsid w:val="008E51D6"/>
    <w:rsid w:val="008F514A"/>
    <w:rsid w:val="008F7126"/>
    <w:rsid w:val="009004C8"/>
    <w:rsid w:val="00901D6E"/>
    <w:rsid w:val="009039AA"/>
    <w:rsid w:val="009071ED"/>
    <w:rsid w:val="00910A12"/>
    <w:rsid w:val="009138CA"/>
    <w:rsid w:val="0092229F"/>
    <w:rsid w:val="009248EA"/>
    <w:rsid w:val="00924A44"/>
    <w:rsid w:val="00924DE7"/>
    <w:rsid w:val="009260C6"/>
    <w:rsid w:val="0092683D"/>
    <w:rsid w:val="009402F4"/>
    <w:rsid w:val="009405E5"/>
    <w:rsid w:val="00940AEE"/>
    <w:rsid w:val="00944B0D"/>
    <w:rsid w:val="009603DC"/>
    <w:rsid w:val="00971D89"/>
    <w:rsid w:val="00994389"/>
    <w:rsid w:val="009A527F"/>
    <w:rsid w:val="009C434C"/>
    <w:rsid w:val="009D5F26"/>
    <w:rsid w:val="009E23F0"/>
    <w:rsid w:val="009E2573"/>
    <w:rsid w:val="009F3E70"/>
    <w:rsid w:val="009F6532"/>
    <w:rsid w:val="00A055C7"/>
    <w:rsid w:val="00A1262D"/>
    <w:rsid w:val="00A12F98"/>
    <w:rsid w:val="00A170CF"/>
    <w:rsid w:val="00A22CDF"/>
    <w:rsid w:val="00A45115"/>
    <w:rsid w:val="00A459AF"/>
    <w:rsid w:val="00A51E69"/>
    <w:rsid w:val="00A528E4"/>
    <w:rsid w:val="00A53D29"/>
    <w:rsid w:val="00A5551E"/>
    <w:rsid w:val="00A56BC8"/>
    <w:rsid w:val="00A60ED5"/>
    <w:rsid w:val="00A63031"/>
    <w:rsid w:val="00A80F21"/>
    <w:rsid w:val="00A83308"/>
    <w:rsid w:val="00A86FFF"/>
    <w:rsid w:val="00A87CCC"/>
    <w:rsid w:val="00A939FD"/>
    <w:rsid w:val="00A94CE4"/>
    <w:rsid w:val="00A9587D"/>
    <w:rsid w:val="00A9700E"/>
    <w:rsid w:val="00AA5B99"/>
    <w:rsid w:val="00AC12ED"/>
    <w:rsid w:val="00AC46E7"/>
    <w:rsid w:val="00AE78E4"/>
    <w:rsid w:val="00AF0BD8"/>
    <w:rsid w:val="00AF5665"/>
    <w:rsid w:val="00AF62F3"/>
    <w:rsid w:val="00B00724"/>
    <w:rsid w:val="00B22998"/>
    <w:rsid w:val="00B2563E"/>
    <w:rsid w:val="00B25E92"/>
    <w:rsid w:val="00B31303"/>
    <w:rsid w:val="00B339B5"/>
    <w:rsid w:val="00B50FF5"/>
    <w:rsid w:val="00B56D88"/>
    <w:rsid w:val="00B60081"/>
    <w:rsid w:val="00B722E6"/>
    <w:rsid w:val="00B72C65"/>
    <w:rsid w:val="00B91B2B"/>
    <w:rsid w:val="00B94879"/>
    <w:rsid w:val="00BA1CC6"/>
    <w:rsid w:val="00BA2B45"/>
    <w:rsid w:val="00BA6AD9"/>
    <w:rsid w:val="00BB5FB5"/>
    <w:rsid w:val="00BC3CCE"/>
    <w:rsid w:val="00BC49AA"/>
    <w:rsid w:val="00BC7E72"/>
    <w:rsid w:val="00BD44A6"/>
    <w:rsid w:val="00BE057C"/>
    <w:rsid w:val="00BE073B"/>
    <w:rsid w:val="00BF688A"/>
    <w:rsid w:val="00C058C4"/>
    <w:rsid w:val="00C102A6"/>
    <w:rsid w:val="00C122D5"/>
    <w:rsid w:val="00C30E47"/>
    <w:rsid w:val="00C41E7C"/>
    <w:rsid w:val="00C443F4"/>
    <w:rsid w:val="00C44DDA"/>
    <w:rsid w:val="00C45A18"/>
    <w:rsid w:val="00C63E4C"/>
    <w:rsid w:val="00C74C0E"/>
    <w:rsid w:val="00C814C4"/>
    <w:rsid w:val="00C84747"/>
    <w:rsid w:val="00C867F7"/>
    <w:rsid w:val="00C93A45"/>
    <w:rsid w:val="00C96478"/>
    <w:rsid w:val="00CB3343"/>
    <w:rsid w:val="00CC27C4"/>
    <w:rsid w:val="00CC7A96"/>
    <w:rsid w:val="00CD2992"/>
    <w:rsid w:val="00CE37AE"/>
    <w:rsid w:val="00CE5E8B"/>
    <w:rsid w:val="00CF1072"/>
    <w:rsid w:val="00CF77BF"/>
    <w:rsid w:val="00D013A4"/>
    <w:rsid w:val="00D040AD"/>
    <w:rsid w:val="00D10948"/>
    <w:rsid w:val="00D11CD5"/>
    <w:rsid w:val="00D17B51"/>
    <w:rsid w:val="00D17C43"/>
    <w:rsid w:val="00D21EE9"/>
    <w:rsid w:val="00D279A5"/>
    <w:rsid w:val="00D33502"/>
    <w:rsid w:val="00D34006"/>
    <w:rsid w:val="00D3593D"/>
    <w:rsid w:val="00D4442A"/>
    <w:rsid w:val="00D44F76"/>
    <w:rsid w:val="00D46BFB"/>
    <w:rsid w:val="00D4707E"/>
    <w:rsid w:val="00D51998"/>
    <w:rsid w:val="00D5225F"/>
    <w:rsid w:val="00D7496D"/>
    <w:rsid w:val="00D75455"/>
    <w:rsid w:val="00D773AD"/>
    <w:rsid w:val="00D821DF"/>
    <w:rsid w:val="00D86D4D"/>
    <w:rsid w:val="00D90DAF"/>
    <w:rsid w:val="00D93C73"/>
    <w:rsid w:val="00DA5AEA"/>
    <w:rsid w:val="00DC162F"/>
    <w:rsid w:val="00DC1B46"/>
    <w:rsid w:val="00DC25C2"/>
    <w:rsid w:val="00DC45DC"/>
    <w:rsid w:val="00DC4FE8"/>
    <w:rsid w:val="00DC6508"/>
    <w:rsid w:val="00DD3D1C"/>
    <w:rsid w:val="00DE1DCF"/>
    <w:rsid w:val="00DE27C9"/>
    <w:rsid w:val="00DF255D"/>
    <w:rsid w:val="00DF5878"/>
    <w:rsid w:val="00E10279"/>
    <w:rsid w:val="00E13E09"/>
    <w:rsid w:val="00E172A6"/>
    <w:rsid w:val="00E35B4F"/>
    <w:rsid w:val="00E3707F"/>
    <w:rsid w:val="00E44092"/>
    <w:rsid w:val="00E512CE"/>
    <w:rsid w:val="00E55CD3"/>
    <w:rsid w:val="00E7139B"/>
    <w:rsid w:val="00E767EC"/>
    <w:rsid w:val="00E87805"/>
    <w:rsid w:val="00EA16EB"/>
    <w:rsid w:val="00EA1E6D"/>
    <w:rsid w:val="00EA3B19"/>
    <w:rsid w:val="00EA7185"/>
    <w:rsid w:val="00EB04DB"/>
    <w:rsid w:val="00EB1D0B"/>
    <w:rsid w:val="00EB2817"/>
    <w:rsid w:val="00EC49F0"/>
    <w:rsid w:val="00EC5ECD"/>
    <w:rsid w:val="00EC6913"/>
    <w:rsid w:val="00ED4FE7"/>
    <w:rsid w:val="00ED77BE"/>
    <w:rsid w:val="00EE2E18"/>
    <w:rsid w:val="00F04C31"/>
    <w:rsid w:val="00F05EA4"/>
    <w:rsid w:val="00F072F6"/>
    <w:rsid w:val="00F1572B"/>
    <w:rsid w:val="00F3742E"/>
    <w:rsid w:val="00F40407"/>
    <w:rsid w:val="00F46232"/>
    <w:rsid w:val="00F60B9A"/>
    <w:rsid w:val="00F63FEA"/>
    <w:rsid w:val="00F6765B"/>
    <w:rsid w:val="00F72981"/>
    <w:rsid w:val="00F75CA4"/>
    <w:rsid w:val="00F95A8F"/>
    <w:rsid w:val="00FA306B"/>
    <w:rsid w:val="00FB3497"/>
    <w:rsid w:val="00FB59B4"/>
    <w:rsid w:val="00FC199F"/>
    <w:rsid w:val="00FC4E03"/>
    <w:rsid w:val="00FC6EB1"/>
    <w:rsid w:val="00FD0042"/>
    <w:rsid w:val="00FD41AC"/>
    <w:rsid w:val="00FD5A97"/>
    <w:rsid w:val="00FD7CBB"/>
    <w:rsid w:val="00FE2C54"/>
    <w:rsid w:val="00FF0798"/>
    <w:rsid w:val="00FF6FB1"/>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169E4197-85D4-4AEF-B93C-7D8C8F05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styleId="BesuchterLink">
    <w:name w:val="FollowedHyperlink"/>
    <w:basedOn w:val="Absatz-Standardschriftart"/>
    <w:uiPriority w:val="99"/>
    <w:semiHidden/>
    <w:unhideWhenUsed/>
    <w:rsid w:val="00926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1954437897">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q-news/pr-berich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hyperlink" Target="https://www.quantron.net/wp-content/uploads/2022/12/Quantron-AG-Award-Logo.jpg"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uantron.net/wp-content/uploads/2022/12/QaaS-Flywheel_EN-scaled.jpg" TargetMode="External"/><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12/Quantron-Award-Write-Up.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presse@quantron.net" TargetMode="External"/><Relationship Id="rId10" Type="http://schemas.openxmlformats.org/officeDocument/2006/relationships/endnotes" Target="endnotes.xml"/><Relationship Id="rId19" Type="http://schemas.openxmlformats.org/officeDocument/2006/relationships/hyperlink" Target="http://Linked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2/12/QUANTRON-QHM-FCEV-scaled.jpg" TargetMode="External"/><Relationship Id="rId22" Type="http://schemas.openxmlformats.org/officeDocument/2006/relationships/hyperlink" Target="mailto:j.zwilling@quantron.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SharedWithUsers xmlns="160d7d4e-ecad-4bbe-9482-5844bc845bd2">
      <UserInfo>
        <DisplayName>Jörg Zwilling | Quantron AG</DisplayName>
        <AccountId>686</AccountId>
        <AccountType/>
      </UserInfo>
    </SharedWithUsers>
  </documentManagement>
</p:properties>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3D898C55-08C7-4040-B871-4493F8B6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6360</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4456497</vt:i4>
      </vt:variant>
      <vt:variant>
        <vt:i4>12</vt:i4>
      </vt:variant>
      <vt:variant>
        <vt:i4>0</vt:i4>
      </vt:variant>
      <vt:variant>
        <vt:i4>5</vt:i4>
      </vt:variant>
      <vt:variant>
        <vt:lpwstr>mailto:j.zwilling@quantron.net</vt:lpwstr>
      </vt:variant>
      <vt:variant>
        <vt:lpwstr/>
      </vt:variant>
      <vt:variant>
        <vt:i4>4456525</vt:i4>
      </vt:variant>
      <vt:variant>
        <vt:i4>9</vt:i4>
      </vt:variant>
      <vt:variant>
        <vt:i4>0</vt:i4>
      </vt:variant>
      <vt:variant>
        <vt:i4>5</vt:i4>
      </vt:variant>
      <vt:variant>
        <vt:lpwstr>http://www.quantron.net/</vt:lpwstr>
      </vt:variant>
      <vt:variant>
        <vt:lpwstr/>
      </vt:variant>
      <vt:variant>
        <vt:i4>4325440</vt:i4>
      </vt:variant>
      <vt:variant>
        <vt:i4>6</vt:i4>
      </vt:variant>
      <vt:variant>
        <vt:i4>0</vt:i4>
      </vt:variant>
      <vt:variant>
        <vt:i4>5</vt:i4>
      </vt:variant>
      <vt:variant>
        <vt:lpwstr>https://www.youtube.com/channel/UCDQ-CKkS8XMHcJ9Ze-6UVNA</vt:lpwstr>
      </vt:variant>
      <vt:variant>
        <vt:lpwstr/>
      </vt:variant>
      <vt:variant>
        <vt:i4>1638424</vt:i4>
      </vt:variant>
      <vt:variant>
        <vt:i4>3</vt:i4>
      </vt:variant>
      <vt:variant>
        <vt:i4>0</vt:i4>
      </vt:variant>
      <vt:variant>
        <vt:i4>5</vt:i4>
      </vt:variant>
      <vt:variant>
        <vt:lpwstr>https://www.linkedin.com/company/quantron-ag</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8</cp:revision>
  <dcterms:created xsi:type="dcterms:W3CDTF">2022-12-20T15:36:00Z</dcterms:created>
  <dcterms:modified xsi:type="dcterms:W3CDTF">2022-12-21T07:46:00Z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