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FF2D8" w14:textId="5891B5FD" w:rsidR="007F3AB0" w:rsidRPr="00F27900" w:rsidRDefault="002D0904" w:rsidP="002975E2">
      <w:pPr>
        <w:tabs>
          <w:tab w:val="right" w:pos="9356"/>
        </w:tabs>
        <w:spacing w:after="0" w:line="360" w:lineRule="auto"/>
        <w:rPr>
          <w:rFonts w:cs="Arial"/>
          <w:sz w:val="18"/>
          <w:szCs w:val="20"/>
          <w:lang w:val="en-GB"/>
        </w:rPr>
      </w:pPr>
      <w:bookmarkStart w:id="0" w:name="_Hlk147505706"/>
      <w:bookmarkEnd w:id="0"/>
      <w:r w:rsidRPr="00C6703B">
        <w:rPr>
          <w:rFonts w:cs="Arial"/>
          <w:lang w:val="en-GB"/>
        </w:rPr>
        <w:t>PRESS</w:t>
      </w:r>
      <w:r w:rsidR="00845F52" w:rsidRPr="00C6703B">
        <w:rPr>
          <w:rFonts w:cs="Arial"/>
          <w:lang w:val="en-GB"/>
        </w:rPr>
        <w:t xml:space="preserve"> RELEASE</w:t>
      </w:r>
      <w:r w:rsidRPr="00C6703B">
        <w:rPr>
          <w:rFonts w:cs="Arial"/>
          <w:lang w:val="en-GB"/>
        </w:rPr>
        <w:tab/>
      </w:r>
      <w:r w:rsidR="002E78E9">
        <w:rPr>
          <w:rFonts w:cs="Arial"/>
          <w:lang w:val="en-GB"/>
        </w:rPr>
        <w:t>9</w:t>
      </w:r>
      <w:r w:rsidR="00F27900" w:rsidRPr="00BC78D6">
        <w:rPr>
          <w:rFonts w:cs="Arial"/>
          <w:sz w:val="18"/>
          <w:szCs w:val="18"/>
          <w:vertAlign w:val="superscript"/>
          <w:lang w:val="en-GB"/>
        </w:rPr>
        <w:t>th</w:t>
      </w:r>
      <w:r w:rsidR="00F27900" w:rsidRPr="00BC78D6">
        <w:rPr>
          <w:rFonts w:cs="Arial"/>
          <w:sz w:val="18"/>
          <w:szCs w:val="18"/>
          <w:lang w:val="en-GB"/>
        </w:rPr>
        <w:t xml:space="preserve"> October</w:t>
      </w:r>
      <w:r w:rsidR="00C44FDD" w:rsidRPr="00BC78D6">
        <w:rPr>
          <w:rFonts w:cs="Arial"/>
          <w:sz w:val="18"/>
          <w:szCs w:val="18"/>
          <w:lang w:val="en-GB"/>
        </w:rPr>
        <w:t xml:space="preserve"> 2023</w:t>
      </w:r>
      <w:r w:rsidR="00FC3EBE" w:rsidRPr="00BC78D6">
        <w:rPr>
          <w:rFonts w:cs="Arial"/>
          <w:sz w:val="12"/>
          <w:szCs w:val="16"/>
          <w:lang w:val="en-GB"/>
        </w:rPr>
        <w:t xml:space="preserve"> </w:t>
      </w:r>
    </w:p>
    <w:p w14:paraId="4AAC4A18" w14:textId="4F31AF88" w:rsidR="009E2573" w:rsidRPr="005D0045" w:rsidRDefault="005D0045" w:rsidP="00671A6F">
      <w:pPr>
        <w:spacing w:before="340" w:after="340" w:line="240" w:lineRule="auto"/>
        <w:rPr>
          <w:rFonts w:cs="Arial"/>
          <w:b/>
          <w:bCs/>
          <w:sz w:val="28"/>
          <w:szCs w:val="28"/>
          <w:lang w:val="en-US"/>
        </w:rPr>
      </w:pPr>
      <w:r w:rsidRPr="005D0045">
        <w:rPr>
          <w:rFonts w:cs="Arial"/>
          <w:b/>
          <w:bCs/>
          <w:sz w:val="28"/>
          <w:szCs w:val="28"/>
          <w:lang w:val="en-US"/>
        </w:rPr>
        <w:t xml:space="preserve">World premiere: QUANTRON delivers hydrogen trucks to the first IKEA </w:t>
      </w:r>
      <w:r w:rsidR="00C0655B">
        <w:rPr>
          <w:rFonts w:cs="Arial"/>
          <w:b/>
          <w:bCs/>
          <w:sz w:val="28"/>
          <w:szCs w:val="28"/>
          <w:lang w:val="en-US"/>
        </w:rPr>
        <w:t>market worldwide</w:t>
      </w:r>
    </w:p>
    <w:p w14:paraId="4738731A" w14:textId="35E898B1" w:rsidR="007A31B0" w:rsidRPr="007A31B0" w:rsidRDefault="007A31B0" w:rsidP="007A31B0">
      <w:pPr>
        <w:pStyle w:val="ListParagraph"/>
        <w:numPr>
          <w:ilvl w:val="0"/>
          <w:numId w:val="2"/>
        </w:numPr>
        <w:spacing w:after="0"/>
        <w:rPr>
          <w:rFonts w:cs="Arial"/>
          <w:lang w:val="en-US"/>
        </w:rPr>
      </w:pPr>
      <w:r w:rsidRPr="007A31B0">
        <w:rPr>
          <w:rFonts w:cs="Arial"/>
          <w:lang w:val="en-US"/>
        </w:rPr>
        <w:t>German Quantron AG supplies IKEA Austria with five hydrogen fuel cell trucks of the model QUANTRON QLI FCEV</w:t>
      </w:r>
    </w:p>
    <w:p w14:paraId="5BA480AA" w14:textId="51AE8C2F" w:rsidR="007A31B0" w:rsidRPr="007A31B0" w:rsidRDefault="007A31B0" w:rsidP="007A31B0">
      <w:pPr>
        <w:pStyle w:val="ListParagraph"/>
        <w:numPr>
          <w:ilvl w:val="0"/>
          <w:numId w:val="2"/>
        </w:numPr>
        <w:spacing w:after="0"/>
        <w:rPr>
          <w:rFonts w:cs="Arial"/>
          <w:lang w:val="en-US"/>
        </w:rPr>
      </w:pPr>
      <w:r w:rsidRPr="007A31B0">
        <w:rPr>
          <w:rFonts w:cs="Arial"/>
          <w:lang w:val="en-US"/>
        </w:rPr>
        <w:t>In Austria, 56 QUANTRON battery-electric vehicles are already successfully in operation for IKEA, saving about 450 tons of CO2 per year</w:t>
      </w:r>
    </w:p>
    <w:p w14:paraId="5B574265" w14:textId="5ADA2976" w:rsidR="002975FA" w:rsidRDefault="007A31B0" w:rsidP="007A31B0">
      <w:pPr>
        <w:pStyle w:val="ListParagraph"/>
        <w:numPr>
          <w:ilvl w:val="0"/>
          <w:numId w:val="2"/>
        </w:numPr>
        <w:spacing w:after="0"/>
        <w:rPr>
          <w:rFonts w:cs="Arial"/>
          <w:lang w:val="en-US"/>
        </w:rPr>
      </w:pPr>
      <w:r w:rsidRPr="007A31B0">
        <w:rPr>
          <w:rFonts w:cs="Arial"/>
          <w:lang w:val="en-US"/>
        </w:rPr>
        <w:t>The 5 FCEV trucks are expected to save another 160 tons of CO2 per year</w:t>
      </w:r>
    </w:p>
    <w:p w14:paraId="0B2EE6CC" w14:textId="77777777" w:rsidR="007A31B0" w:rsidRPr="007A31B0" w:rsidRDefault="007A31B0" w:rsidP="007A31B0">
      <w:pPr>
        <w:spacing w:after="0"/>
        <w:ind w:left="360"/>
        <w:rPr>
          <w:rFonts w:cs="Arial"/>
          <w:lang w:val="en-US"/>
        </w:rPr>
      </w:pPr>
    </w:p>
    <w:p w14:paraId="2B4ECCBD" w14:textId="2436B107" w:rsidR="00294E66" w:rsidRPr="00294E66" w:rsidRDefault="00294E66" w:rsidP="00294E66">
      <w:pPr>
        <w:pStyle w:val="01Flietext"/>
        <w:rPr>
          <w:rFonts w:ascii="Arial" w:hAnsi="Arial" w:cs="Arial"/>
          <w:sz w:val="22"/>
          <w:szCs w:val="22"/>
          <w:lang w:val="en-US"/>
        </w:rPr>
      </w:pPr>
      <w:r w:rsidRPr="00294E66">
        <w:rPr>
          <w:rFonts w:ascii="Arial" w:hAnsi="Arial" w:cs="Arial"/>
          <w:sz w:val="22"/>
          <w:szCs w:val="22"/>
          <w:lang w:val="en-US"/>
        </w:rPr>
        <w:t xml:space="preserve">IKEA Austria, together with </w:t>
      </w:r>
      <w:hyperlink r:id="rId11" w:history="1">
        <w:r w:rsidRPr="008768DA">
          <w:rPr>
            <w:rStyle w:val="Hyperlink"/>
            <w:rFonts w:ascii="Arial" w:hAnsi="Arial" w:cs="Arial"/>
            <w:sz w:val="22"/>
            <w:szCs w:val="22"/>
            <w:lang w:val="en-US"/>
          </w:rPr>
          <w:t>Quantron AG</w:t>
        </w:r>
      </w:hyperlink>
      <w:r w:rsidRPr="00294E66">
        <w:rPr>
          <w:rFonts w:ascii="Arial" w:hAnsi="Arial" w:cs="Arial"/>
          <w:sz w:val="22"/>
          <w:szCs w:val="22"/>
          <w:lang w:val="en-US"/>
        </w:rPr>
        <w:t xml:space="preserve">, sets an example for sustainable logistics and is the first IKEA </w:t>
      </w:r>
      <w:r w:rsidR="00726F6E">
        <w:rPr>
          <w:rFonts w:ascii="Arial" w:hAnsi="Arial" w:cs="Arial"/>
          <w:sz w:val="22"/>
          <w:szCs w:val="22"/>
          <w:lang w:val="en-US"/>
        </w:rPr>
        <w:t>market</w:t>
      </w:r>
      <w:r w:rsidRPr="00294E66">
        <w:rPr>
          <w:rFonts w:ascii="Arial" w:hAnsi="Arial" w:cs="Arial"/>
          <w:sz w:val="22"/>
          <w:szCs w:val="22"/>
          <w:lang w:val="en-US"/>
        </w:rPr>
        <w:t xml:space="preserve"> worldwide to introduce hydrogen fuel cell trucks. Quantron AG, a specialist in sustainable passenger and freight transport, is supplying the QUANTRON QLI FCEV model vehicles. The zero-emission transporters will be fueled with green hydrogen from energy supplier Wien Energie.</w:t>
      </w:r>
    </w:p>
    <w:p w14:paraId="75793ACB" w14:textId="05CFEF84" w:rsidR="00294E66" w:rsidRPr="00294E66" w:rsidRDefault="008A7DEE" w:rsidP="00294E66">
      <w:pPr>
        <w:pStyle w:val="01Flietext"/>
        <w:rPr>
          <w:rFonts w:ascii="Arial" w:hAnsi="Arial" w:cs="Arial"/>
          <w:sz w:val="22"/>
          <w:szCs w:val="22"/>
          <w:lang w:val="en-US"/>
        </w:rPr>
      </w:pPr>
      <w:r>
        <w:rPr>
          <w:rFonts w:ascii="Arial" w:hAnsi="Arial" w:cs="Arial"/>
          <w:sz w:val="22"/>
          <w:szCs w:val="22"/>
          <w:lang w:val="en-US"/>
        </w:rPr>
        <w:t>“</w:t>
      </w:r>
      <w:r w:rsidR="00294E66" w:rsidRPr="00294E66">
        <w:rPr>
          <w:rFonts w:ascii="Arial" w:hAnsi="Arial" w:cs="Arial"/>
          <w:sz w:val="22"/>
          <w:szCs w:val="22"/>
          <w:lang w:val="en-US"/>
        </w:rPr>
        <w:t xml:space="preserve">By introducing the hydrogen trucks - as the first IKEA </w:t>
      </w:r>
      <w:r w:rsidR="00726F6E">
        <w:rPr>
          <w:rFonts w:ascii="Arial" w:hAnsi="Arial" w:cs="Arial"/>
          <w:sz w:val="22"/>
          <w:szCs w:val="22"/>
          <w:lang w:val="en-US"/>
        </w:rPr>
        <w:t>market</w:t>
      </w:r>
      <w:r w:rsidR="00294E66" w:rsidRPr="00294E66">
        <w:rPr>
          <w:rFonts w:ascii="Arial" w:hAnsi="Arial" w:cs="Arial"/>
          <w:sz w:val="22"/>
          <w:szCs w:val="22"/>
          <w:lang w:val="en-US"/>
        </w:rPr>
        <w:t xml:space="preserve"> worldwide - we succeed in Austria in taking a big step in implementing environmentally friendly processes. In this way, as a pioneer in the field of sustainable logistics, we want to show that a transformation to zero-emission delivery is already possible today</w:t>
      </w:r>
      <w:r>
        <w:rPr>
          <w:rFonts w:ascii="Arial" w:hAnsi="Arial" w:cs="Arial"/>
          <w:sz w:val="22"/>
          <w:szCs w:val="22"/>
          <w:lang w:val="en-US"/>
        </w:rPr>
        <w:t>”,</w:t>
      </w:r>
      <w:r w:rsidR="00294E66" w:rsidRPr="00294E66">
        <w:rPr>
          <w:rFonts w:ascii="Arial" w:hAnsi="Arial" w:cs="Arial"/>
          <w:sz w:val="22"/>
          <w:szCs w:val="22"/>
          <w:lang w:val="en-US"/>
        </w:rPr>
        <w:t xml:space="preserve"> says Alpaslan Deliloglu, CEO and Chief Sustainability Officer at IKEA Austria.</w:t>
      </w:r>
    </w:p>
    <w:p w14:paraId="38413A74" w14:textId="46D1691E" w:rsidR="00E35B4F" w:rsidRDefault="00294E66" w:rsidP="00294E66">
      <w:pPr>
        <w:pStyle w:val="01Flietext"/>
        <w:rPr>
          <w:rFonts w:ascii="Arial" w:hAnsi="Arial" w:cs="Arial"/>
          <w:sz w:val="22"/>
          <w:szCs w:val="22"/>
          <w:lang w:val="en-US"/>
        </w:rPr>
      </w:pPr>
      <w:r w:rsidRPr="00294E66">
        <w:rPr>
          <w:rFonts w:ascii="Arial" w:hAnsi="Arial" w:cs="Arial"/>
          <w:sz w:val="22"/>
          <w:szCs w:val="22"/>
          <w:lang w:val="en-US"/>
        </w:rPr>
        <w:t>The fuel cell vehicles were developed in collaboration with Ballard Power Systems, the Canadian global leader in fuel cell technology. The entire process from feasibility study to delivery took only 18 months, enabling the QUANTRON QLI FCEV to hit the road in record time.</w:t>
      </w:r>
    </w:p>
    <w:p w14:paraId="2DF59260" w14:textId="77777777" w:rsidR="008A7DEE" w:rsidRPr="008A7DEE" w:rsidRDefault="008A7DEE" w:rsidP="008A7DEE">
      <w:pPr>
        <w:pStyle w:val="01Flietext"/>
        <w:rPr>
          <w:rFonts w:ascii="Arial" w:hAnsi="Arial" w:cs="Arial"/>
          <w:sz w:val="22"/>
          <w:szCs w:val="22"/>
          <w:lang w:val="en-GB"/>
        </w:rPr>
      </w:pPr>
      <w:r w:rsidRPr="008A7DEE">
        <w:rPr>
          <w:rFonts w:ascii="Arial" w:hAnsi="Arial" w:cs="Arial"/>
          <w:sz w:val="22"/>
          <w:szCs w:val="22"/>
          <w:lang w:val="en-GB"/>
        </w:rPr>
        <w:t xml:space="preserve">The innovative Quantron Inside technology offers a user-friendly complete package with innovative e-axle, customized high-performance battery, fuel cell and tank system integration, and unique energy management and aerodynamics for maximum efficiency. One tank of fuel is sufficient for a range of up to 400 km, allowing distances of more than 500 km per day. </w:t>
      </w:r>
    </w:p>
    <w:p w14:paraId="4F5AEE7B" w14:textId="03162F5D" w:rsidR="008A7DEE" w:rsidRPr="008A7DEE" w:rsidRDefault="008A7DEE" w:rsidP="008A7DEE">
      <w:pPr>
        <w:pStyle w:val="01Flietext"/>
        <w:rPr>
          <w:rFonts w:ascii="Arial" w:hAnsi="Arial" w:cs="Arial"/>
          <w:sz w:val="22"/>
          <w:szCs w:val="22"/>
          <w:lang w:val="en-GB"/>
        </w:rPr>
      </w:pPr>
      <w:r>
        <w:rPr>
          <w:rFonts w:ascii="Arial" w:hAnsi="Arial" w:cs="Arial"/>
          <w:sz w:val="22"/>
          <w:szCs w:val="22"/>
          <w:lang w:val="en-GB"/>
        </w:rPr>
        <w:t>“</w:t>
      </w:r>
      <w:r w:rsidRPr="008A7DEE">
        <w:rPr>
          <w:rFonts w:ascii="Arial" w:hAnsi="Arial" w:cs="Arial"/>
          <w:sz w:val="22"/>
          <w:szCs w:val="22"/>
          <w:lang w:val="en-GB"/>
        </w:rPr>
        <w:t xml:space="preserve">We are delighted that our long-standing collaboration with IKEA has reached another level with the launch of a new generation of innovative QUANTRON products. The QLI FCEV is the first H2 vehicle in the fuel cell commercial vehicle segment up to 7.5 t in Europe and the market leader in fuel cell technology in this class. </w:t>
      </w:r>
      <w:r w:rsidR="000623DC" w:rsidRPr="000623DC">
        <w:rPr>
          <w:rFonts w:ascii="Arial" w:hAnsi="Arial" w:cs="Arial"/>
          <w:sz w:val="22"/>
          <w:szCs w:val="22"/>
          <w:lang w:val="en-GB"/>
        </w:rPr>
        <w:t xml:space="preserve">We have been supporting IKEA Austria on its mission of decarbonization since August 2021. IKEA Austria has 45 QLI BEV trucks in use in the greater Vienna area and a further </w:t>
      </w:r>
      <w:r w:rsidR="00FE17FF">
        <w:rPr>
          <w:rFonts w:ascii="Arial" w:hAnsi="Arial" w:cs="Arial"/>
          <w:sz w:val="22"/>
          <w:szCs w:val="22"/>
          <w:lang w:val="en-GB"/>
        </w:rPr>
        <w:t>eleven</w:t>
      </w:r>
      <w:r w:rsidR="000623DC" w:rsidRPr="000623DC">
        <w:rPr>
          <w:rFonts w:ascii="Arial" w:hAnsi="Arial" w:cs="Arial"/>
          <w:sz w:val="22"/>
          <w:szCs w:val="22"/>
          <w:lang w:val="en-GB"/>
        </w:rPr>
        <w:t xml:space="preserve"> in other Austrian cities.</w:t>
      </w:r>
      <w:r>
        <w:rPr>
          <w:rFonts w:ascii="Arial" w:hAnsi="Arial" w:cs="Arial"/>
          <w:sz w:val="22"/>
          <w:szCs w:val="22"/>
          <w:lang w:val="en-GB"/>
        </w:rPr>
        <w:t>”,</w:t>
      </w:r>
      <w:r w:rsidRPr="008A7DEE">
        <w:rPr>
          <w:rFonts w:ascii="Arial" w:hAnsi="Arial" w:cs="Arial"/>
          <w:sz w:val="22"/>
          <w:szCs w:val="22"/>
          <w:lang w:val="en-GB"/>
        </w:rPr>
        <w:t xml:space="preserve"> explains Andreas Haller, founder and </w:t>
      </w:r>
      <w:r w:rsidR="00CB1805">
        <w:rPr>
          <w:rFonts w:ascii="Arial" w:hAnsi="Arial" w:cs="Arial"/>
          <w:sz w:val="22"/>
          <w:szCs w:val="22"/>
          <w:lang w:val="en-GB"/>
        </w:rPr>
        <w:t>Executive Chairman</w:t>
      </w:r>
      <w:r w:rsidRPr="008A7DEE">
        <w:rPr>
          <w:rFonts w:ascii="Arial" w:hAnsi="Arial" w:cs="Arial"/>
          <w:sz w:val="22"/>
          <w:szCs w:val="22"/>
          <w:lang w:val="en-GB"/>
        </w:rPr>
        <w:t xml:space="preserve"> of Quantron AG.</w:t>
      </w:r>
    </w:p>
    <w:p w14:paraId="7FCCA69F" w14:textId="739330FB" w:rsidR="008A7DEE" w:rsidRPr="00FF08A9" w:rsidRDefault="008A7DEE" w:rsidP="008A7DEE">
      <w:pPr>
        <w:pStyle w:val="01Flietext"/>
        <w:rPr>
          <w:rFonts w:ascii="Arial" w:hAnsi="Arial" w:cs="Arial"/>
          <w:sz w:val="22"/>
          <w:szCs w:val="22"/>
          <w:lang w:val="en-GB"/>
        </w:rPr>
      </w:pPr>
      <w:r w:rsidRPr="008A7DEE">
        <w:rPr>
          <w:rFonts w:ascii="Arial" w:hAnsi="Arial" w:cs="Arial"/>
          <w:sz w:val="22"/>
          <w:szCs w:val="22"/>
          <w:lang w:val="en-GB"/>
        </w:rPr>
        <w:t>The use of the battery-electric QUANTRON vehicles saves around 450 tons of CO2 annually. The FCEV trucks have a longer range for deliveries even outside urban areas and are expected to reduce CO2 emissions by another 160 tons per year. By 2025, IKEA Austria plans to make 100% of its last-mile deliveries emission-free.</w:t>
      </w:r>
      <w:r w:rsidR="003D3DC5" w:rsidRPr="003D3DC5">
        <w:rPr>
          <w:rFonts w:cs="Arial"/>
          <w:lang w:val="en-GB"/>
        </w:rPr>
        <w:t xml:space="preserve"> </w:t>
      </w:r>
      <w:r w:rsidR="003D3DC5">
        <w:rPr>
          <w:rFonts w:ascii="Arial" w:hAnsi="Arial" w:cs="Arial"/>
          <w:sz w:val="22"/>
          <w:szCs w:val="22"/>
          <w:lang w:val="en-GB"/>
        </w:rPr>
        <w:t>The company announced to expand its fleet of H2 trucks to 40 units by 2025.</w:t>
      </w:r>
    </w:p>
    <w:p w14:paraId="3120F373" w14:textId="77777777" w:rsidR="00F63FEA" w:rsidRPr="00FF08A9" w:rsidRDefault="00F63FEA" w:rsidP="00F63FEA">
      <w:pPr>
        <w:ind w:right="597"/>
        <w:rPr>
          <w:rFonts w:cs="Arial"/>
          <w:bCs/>
          <w:lang w:val="en-US"/>
        </w:rPr>
      </w:pPr>
    </w:p>
    <w:p w14:paraId="21AE9850" w14:textId="4BE70406" w:rsidR="008B7AF6" w:rsidRPr="00FF08A9" w:rsidRDefault="00CD1E78" w:rsidP="00CD1E78">
      <w:pPr>
        <w:rPr>
          <w:rFonts w:cs="Arial"/>
          <w:b/>
          <w:bCs/>
          <w:lang w:val="en-US"/>
        </w:rPr>
      </w:pPr>
      <w:r w:rsidRPr="00FF08A9">
        <w:rPr>
          <w:rFonts w:cs="Arial"/>
          <w:b/>
          <w:bCs/>
          <w:lang w:val="en-US"/>
        </w:rPr>
        <w:t>Image</w:t>
      </w:r>
      <w:r w:rsidR="00ED4171" w:rsidRPr="00FF08A9">
        <w:rPr>
          <w:rFonts w:cs="Arial"/>
          <w:b/>
          <w:bCs/>
          <w:lang w:val="en-US"/>
        </w:rPr>
        <w:t>s</w:t>
      </w:r>
      <w:r w:rsidRPr="00FF08A9">
        <w:rPr>
          <w:rFonts w:cs="Arial"/>
          <w:b/>
          <w:bCs/>
          <w:lang w:val="en-US"/>
        </w:rPr>
        <w:t xml:space="preserve"> (Please click on the image preview to download)</w:t>
      </w:r>
      <w:r w:rsidR="00421C03" w:rsidRPr="00FF08A9">
        <w:rPr>
          <w:rFonts w:cs="Arial"/>
          <w:b/>
          <w:bCs/>
          <w:lang w:val="en-US"/>
        </w:rPr>
        <w:t xml:space="preserve">: </w:t>
      </w:r>
    </w:p>
    <w:tbl>
      <w:tblPr>
        <w:tblStyle w:val="TableGrid"/>
        <w:tblW w:w="0" w:type="auto"/>
        <w:tblLook w:val="04A0" w:firstRow="1" w:lastRow="0" w:firstColumn="1" w:lastColumn="0" w:noHBand="0" w:noVBand="1"/>
      </w:tblPr>
      <w:tblGrid>
        <w:gridCol w:w="5299"/>
        <w:gridCol w:w="3360"/>
      </w:tblGrid>
      <w:tr w:rsidR="00162E66" w:rsidRPr="00E97E88" w14:paraId="01222755" w14:textId="77777777" w:rsidTr="00987B5A">
        <w:trPr>
          <w:trHeight w:val="942"/>
        </w:trPr>
        <w:tc>
          <w:tcPr>
            <w:tcW w:w="4999" w:type="dxa"/>
          </w:tcPr>
          <w:p w14:paraId="291D9793" w14:textId="74E94649" w:rsidR="00FD3FB9" w:rsidRDefault="00497C35">
            <w:pPr>
              <w:ind w:right="597"/>
              <w:rPr>
                <w:rFonts w:cs="Arial"/>
                <w:bCs/>
              </w:rPr>
            </w:pPr>
            <w:r>
              <w:rPr>
                <w:rFonts w:cs="Arial"/>
                <w:bCs/>
                <w:noProof/>
              </w:rPr>
              <w:drawing>
                <wp:inline distT="0" distB="0" distL="0" distR="0" wp14:anchorId="343A57E8" wp14:editId="1E3627AB">
                  <wp:extent cx="2847600" cy="2134800"/>
                  <wp:effectExtent l="0" t="0" r="0" b="0"/>
                  <wp:docPr id="1973894950" name="Grafik 197389495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894950" name="Grafik 1973894950">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7600" cy="2134800"/>
                          </a:xfrm>
                          <a:prstGeom prst="rect">
                            <a:avLst/>
                          </a:prstGeom>
                          <a:noFill/>
                          <a:ln>
                            <a:noFill/>
                          </a:ln>
                        </pic:spPr>
                      </pic:pic>
                    </a:graphicData>
                  </a:graphic>
                </wp:inline>
              </w:drawing>
            </w:r>
          </w:p>
          <w:p w14:paraId="78923464" w14:textId="5A010C8D" w:rsidR="00FD3FB9" w:rsidRPr="00FF08A9" w:rsidRDefault="00FD3FB9">
            <w:pPr>
              <w:ind w:right="597"/>
              <w:rPr>
                <w:rFonts w:cs="Arial"/>
                <w:bCs/>
              </w:rPr>
            </w:pPr>
          </w:p>
        </w:tc>
        <w:tc>
          <w:tcPr>
            <w:tcW w:w="3360" w:type="dxa"/>
          </w:tcPr>
          <w:p w14:paraId="1BF0D4D8" w14:textId="3DAF8996" w:rsidR="00B64882" w:rsidRPr="00537E69" w:rsidRDefault="000C1DC4">
            <w:pPr>
              <w:ind w:right="597"/>
              <w:rPr>
                <w:rFonts w:cs="Arial"/>
                <w:bCs/>
                <w:lang w:val="it-IT"/>
              </w:rPr>
            </w:pPr>
            <w:r w:rsidRPr="00537E69">
              <w:rPr>
                <w:rFonts w:cs="Arial"/>
                <w:bCs/>
                <w:lang w:val="it-IT"/>
              </w:rPr>
              <w:t>Q</w:t>
            </w:r>
            <w:r w:rsidR="00CF2311">
              <w:rPr>
                <w:rFonts w:cs="Arial"/>
                <w:bCs/>
                <w:lang w:val="it-IT"/>
              </w:rPr>
              <w:t>UANTRON</w:t>
            </w:r>
            <w:r w:rsidRPr="00537E69">
              <w:rPr>
                <w:rFonts w:cs="Arial"/>
                <w:bCs/>
                <w:lang w:val="it-IT"/>
              </w:rPr>
              <w:t xml:space="preserve"> QLI </w:t>
            </w:r>
            <w:r w:rsidR="00537E69" w:rsidRPr="00537E69">
              <w:rPr>
                <w:rFonts w:cs="Arial"/>
                <w:bCs/>
                <w:lang w:val="it-IT"/>
              </w:rPr>
              <w:t>Zero Emission F</w:t>
            </w:r>
            <w:r w:rsidR="00537E69">
              <w:rPr>
                <w:rFonts w:cs="Arial"/>
                <w:bCs/>
                <w:lang w:val="it-IT"/>
              </w:rPr>
              <w:t>leet</w:t>
            </w:r>
          </w:p>
        </w:tc>
      </w:tr>
      <w:tr w:rsidR="000A7014" w:rsidRPr="00537E69" w14:paraId="7680AB39" w14:textId="77777777" w:rsidTr="00987B5A">
        <w:trPr>
          <w:trHeight w:val="3275"/>
        </w:trPr>
        <w:tc>
          <w:tcPr>
            <w:tcW w:w="4999" w:type="dxa"/>
          </w:tcPr>
          <w:p w14:paraId="7B5E01A0" w14:textId="50E5E23E" w:rsidR="00981CBD" w:rsidRPr="00981CBD" w:rsidRDefault="00A713C1" w:rsidP="00981CBD">
            <w:pPr>
              <w:ind w:right="597"/>
              <w:rPr>
                <w:rFonts w:cs="Arial"/>
                <w:bCs/>
                <w:noProof/>
              </w:rPr>
            </w:pPr>
            <w:r>
              <w:rPr>
                <w:rFonts w:cs="Arial"/>
                <w:bCs/>
                <w:noProof/>
              </w:rPr>
              <w:drawing>
                <wp:inline distT="0" distB="0" distL="0" distR="0" wp14:anchorId="1E2557FE" wp14:editId="19AD5B3B">
                  <wp:extent cx="2847975" cy="1901698"/>
                  <wp:effectExtent l="0" t="0" r="0" b="3810"/>
                  <wp:docPr id="1639209387" name="Grafik 16392093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09387" name="Grafik 163920938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7975" cy="1901698"/>
                          </a:xfrm>
                          <a:prstGeom prst="rect">
                            <a:avLst/>
                          </a:prstGeom>
                          <a:noFill/>
                          <a:ln>
                            <a:noFill/>
                          </a:ln>
                        </pic:spPr>
                      </pic:pic>
                    </a:graphicData>
                  </a:graphic>
                </wp:inline>
              </w:drawing>
            </w:r>
          </w:p>
        </w:tc>
        <w:tc>
          <w:tcPr>
            <w:tcW w:w="3360" w:type="dxa"/>
          </w:tcPr>
          <w:p w14:paraId="607152C1" w14:textId="1D1A1560" w:rsidR="000A7014" w:rsidRPr="00537E69" w:rsidRDefault="00002FA7">
            <w:pPr>
              <w:ind w:right="597"/>
              <w:rPr>
                <w:rFonts w:cs="Arial"/>
                <w:bCs/>
                <w:lang w:val="it-IT"/>
              </w:rPr>
            </w:pPr>
            <w:r>
              <w:rPr>
                <w:rFonts w:cs="Arial"/>
                <w:bCs/>
                <w:lang w:val="it-IT"/>
              </w:rPr>
              <w:t xml:space="preserve">QUANTRON </w:t>
            </w:r>
            <w:r w:rsidR="009F01B3">
              <w:rPr>
                <w:rFonts w:cs="Arial"/>
                <w:bCs/>
                <w:lang w:val="it-IT"/>
              </w:rPr>
              <w:t xml:space="preserve">QLI FCEV </w:t>
            </w:r>
          </w:p>
        </w:tc>
      </w:tr>
      <w:tr w:rsidR="00162E66" w:rsidRPr="00E97E88" w14:paraId="689B73DE" w14:textId="77777777" w:rsidTr="00987B5A">
        <w:trPr>
          <w:trHeight w:val="3405"/>
        </w:trPr>
        <w:tc>
          <w:tcPr>
            <w:tcW w:w="4999" w:type="dxa"/>
          </w:tcPr>
          <w:p w14:paraId="164B9896" w14:textId="416557B4" w:rsidR="007E4B37" w:rsidRPr="00537E69" w:rsidRDefault="00D85EC7">
            <w:pPr>
              <w:ind w:right="597"/>
              <w:rPr>
                <w:rFonts w:cs="Arial"/>
                <w:bCs/>
                <w:lang w:val="it-IT"/>
              </w:rPr>
            </w:pPr>
            <w:r>
              <w:rPr>
                <w:rFonts w:cs="Arial"/>
                <w:bCs/>
                <w:noProof/>
              </w:rPr>
              <w:drawing>
                <wp:inline distT="0" distB="0" distL="0" distR="0" wp14:anchorId="67E277F8" wp14:editId="76214E4A">
                  <wp:extent cx="2838450" cy="1895337"/>
                  <wp:effectExtent l="0" t="0" r="0" b="0"/>
                  <wp:docPr id="1553442559" name="Grafik 155344255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442559" name="Grafik 155344255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7155" cy="1901150"/>
                          </a:xfrm>
                          <a:prstGeom prst="rect">
                            <a:avLst/>
                          </a:prstGeom>
                          <a:noFill/>
                          <a:ln>
                            <a:noFill/>
                          </a:ln>
                        </pic:spPr>
                      </pic:pic>
                    </a:graphicData>
                  </a:graphic>
                </wp:inline>
              </w:drawing>
            </w:r>
          </w:p>
        </w:tc>
        <w:tc>
          <w:tcPr>
            <w:tcW w:w="3360" w:type="dxa"/>
          </w:tcPr>
          <w:p w14:paraId="6D296884" w14:textId="6E49AA47" w:rsidR="00B64882" w:rsidRPr="009F01B3" w:rsidRDefault="00CF2311">
            <w:pPr>
              <w:ind w:right="597"/>
              <w:rPr>
                <w:rFonts w:cs="Arial"/>
                <w:bCs/>
                <w:lang w:val="it-IT"/>
              </w:rPr>
            </w:pPr>
            <w:r>
              <w:rPr>
                <w:rFonts w:cs="Arial"/>
                <w:bCs/>
                <w:lang w:val="it-IT"/>
              </w:rPr>
              <w:t xml:space="preserve">QUANTRON </w:t>
            </w:r>
            <w:r w:rsidR="009F01B3" w:rsidRPr="009F01B3">
              <w:rPr>
                <w:rFonts w:cs="Arial"/>
                <w:bCs/>
                <w:lang w:val="it-IT"/>
              </w:rPr>
              <w:t>QLI FCEV Zero Emission Fleet Ikea Austria</w:t>
            </w:r>
            <w:r w:rsidR="009F01B3">
              <w:rPr>
                <w:rFonts w:cs="Arial"/>
                <w:bCs/>
                <w:lang w:val="it-IT"/>
              </w:rPr>
              <w:t xml:space="preserve"> </w:t>
            </w:r>
          </w:p>
        </w:tc>
      </w:tr>
      <w:tr w:rsidR="009F01B3" w:rsidRPr="002E78E9" w14:paraId="0C8DC233" w14:textId="77777777" w:rsidTr="00987B5A">
        <w:trPr>
          <w:trHeight w:val="3108"/>
        </w:trPr>
        <w:tc>
          <w:tcPr>
            <w:tcW w:w="4999" w:type="dxa"/>
          </w:tcPr>
          <w:p w14:paraId="56DA8CD2" w14:textId="323610BA" w:rsidR="009F01B3" w:rsidRDefault="001E190F">
            <w:pPr>
              <w:ind w:right="597"/>
              <w:rPr>
                <w:rFonts w:cs="Arial"/>
                <w:noProof/>
                <w:lang w:val="en-US"/>
              </w:rPr>
            </w:pPr>
            <w:r>
              <w:rPr>
                <w:rFonts w:cs="Arial"/>
                <w:bCs/>
                <w:noProof/>
              </w:rPr>
              <w:drawing>
                <wp:inline distT="0" distB="0" distL="0" distR="0" wp14:anchorId="5F2C6FC8" wp14:editId="46C93F0C">
                  <wp:extent cx="2838450" cy="1895337"/>
                  <wp:effectExtent l="0" t="0" r="0" b="0"/>
                  <wp:docPr id="739633062" name="Grafik 73963306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633062" name="Grafik 73963306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6928" cy="1907675"/>
                          </a:xfrm>
                          <a:prstGeom prst="rect">
                            <a:avLst/>
                          </a:prstGeom>
                          <a:noFill/>
                          <a:ln>
                            <a:noFill/>
                          </a:ln>
                        </pic:spPr>
                      </pic:pic>
                    </a:graphicData>
                  </a:graphic>
                </wp:inline>
              </w:drawing>
            </w:r>
          </w:p>
        </w:tc>
        <w:tc>
          <w:tcPr>
            <w:tcW w:w="3360" w:type="dxa"/>
          </w:tcPr>
          <w:p w14:paraId="2F141C62" w14:textId="77777777" w:rsidR="009F01B3" w:rsidRPr="00DF60E0" w:rsidRDefault="00291E11">
            <w:pPr>
              <w:ind w:right="597"/>
              <w:rPr>
                <w:rFonts w:cs="Arial"/>
                <w:bCs/>
                <w:lang w:val="en-GB"/>
              </w:rPr>
            </w:pPr>
            <w:r w:rsidRPr="00DF60E0">
              <w:rPr>
                <w:rFonts w:cs="Arial"/>
                <w:bCs/>
                <w:lang w:val="en-GB"/>
              </w:rPr>
              <w:t>F</w:t>
            </w:r>
            <w:r w:rsidR="005F46E7" w:rsidRPr="00DF60E0">
              <w:rPr>
                <w:rFonts w:cs="Arial"/>
                <w:bCs/>
                <w:lang w:val="en-GB"/>
              </w:rPr>
              <w:t>rom left</w:t>
            </w:r>
            <w:r w:rsidRPr="00DF60E0">
              <w:rPr>
                <w:rFonts w:cs="Arial"/>
                <w:bCs/>
                <w:lang w:val="en-GB"/>
              </w:rPr>
              <w:t xml:space="preserve">: </w:t>
            </w:r>
          </w:p>
          <w:p w14:paraId="2EF8375B" w14:textId="77777777" w:rsidR="00D92FA5" w:rsidRDefault="00291E11">
            <w:pPr>
              <w:ind w:right="597"/>
              <w:rPr>
                <w:rFonts w:cs="Arial"/>
                <w:bCs/>
                <w:lang w:val="en-GB"/>
              </w:rPr>
            </w:pPr>
            <w:r w:rsidRPr="00DF60E0">
              <w:rPr>
                <w:rFonts w:cs="Arial"/>
                <w:bCs/>
                <w:lang w:val="en-GB"/>
              </w:rPr>
              <w:t>Alpaslan Delil</w:t>
            </w:r>
            <w:r w:rsidR="00DF60E0" w:rsidRPr="00DF60E0">
              <w:rPr>
                <w:rFonts w:cs="Arial"/>
                <w:bCs/>
                <w:lang w:val="en-GB"/>
              </w:rPr>
              <w:t>oglu, C</w:t>
            </w:r>
            <w:r w:rsidR="00DF60E0">
              <w:rPr>
                <w:rFonts w:cs="Arial"/>
                <w:bCs/>
                <w:lang w:val="en-GB"/>
              </w:rPr>
              <w:t>EO &amp; Chief Sustain</w:t>
            </w:r>
            <w:r w:rsidR="00D92FA5">
              <w:rPr>
                <w:rFonts w:cs="Arial"/>
                <w:bCs/>
                <w:lang w:val="en-GB"/>
              </w:rPr>
              <w:t>ability Officer Ikea Austria</w:t>
            </w:r>
          </w:p>
          <w:p w14:paraId="1959292F" w14:textId="57426E93" w:rsidR="00D92FA5" w:rsidRPr="00DF60E0" w:rsidRDefault="00D92FA5">
            <w:pPr>
              <w:ind w:right="597"/>
              <w:rPr>
                <w:rFonts w:cs="Arial"/>
                <w:bCs/>
                <w:lang w:val="en-GB"/>
              </w:rPr>
            </w:pPr>
            <w:r>
              <w:rPr>
                <w:rFonts w:cs="Arial"/>
                <w:bCs/>
                <w:lang w:val="en-GB"/>
              </w:rPr>
              <w:t xml:space="preserve">Andreas Haller, Founder &amp; Executive </w:t>
            </w:r>
            <w:r w:rsidR="006B51B7">
              <w:rPr>
                <w:rFonts w:cs="Arial"/>
                <w:bCs/>
                <w:lang w:val="en-GB"/>
              </w:rPr>
              <w:t>Chairman</w:t>
            </w:r>
            <w:r>
              <w:rPr>
                <w:rFonts w:cs="Arial"/>
                <w:bCs/>
                <w:lang w:val="en-GB"/>
              </w:rPr>
              <w:t xml:space="preserve"> of the board</w:t>
            </w:r>
            <w:r w:rsidR="00F21DC3">
              <w:rPr>
                <w:rFonts w:cs="Arial"/>
                <w:bCs/>
                <w:lang w:val="en-GB"/>
              </w:rPr>
              <w:t xml:space="preserve"> Quantron AG</w:t>
            </w:r>
          </w:p>
        </w:tc>
      </w:tr>
    </w:tbl>
    <w:p w14:paraId="1DB671BA" w14:textId="77777777" w:rsidR="00331FFD" w:rsidRPr="00DF60E0" w:rsidRDefault="00331FFD" w:rsidP="00B64882">
      <w:pPr>
        <w:ind w:right="597"/>
        <w:rPr>
          <w:rFonts w:cs="Arial"/>
          <w:lang w:val="en-GB"/>
        </w:rPr>
      </w:pPr>
    </w:p>
    <w:p w14:paraId="4A728932" w14:textId="427C8BDA" w:rsidR="00D1005C" w:rsidRPr="00FF08A9" w:rsidRDefault="00D422CB" w:rsidP="00B64882">
      <w:pPr>
        <w:ind w:right="597"/>
        <w:rPr>
          <w:rFonts w:cs="Arial"/>
          <w:b/>
          <w:lang w:val="en-US"/>
        </w:rPr>
      </w:pPr>
      <w:r w:rsidRPr="00FF08A9">
        <w:rPr>
          <w:rFonts w:cs="Arial"/>
          <w:lang w:val="en-US"/>
        </w:rPr>
        <w:t xml:space="preserve">You can find the original </w:t>
      </w:r>
      <w:r w:rsidR="00BF6D6D" w:rsidRPr="00FF08A9">
        <w:rPr>
          <w:rFonts w:cs="Arial"/>
          <w:lang w:val="en-US"/>
        </w:rPr>
        <w:t>images</w:t>
      </w:r>
      <w:r w:rsidRPr="00FF08A9">
        <w:rPr>
          <w:rFonts w:cs="Arial"/>
          <w:lang w:val="en-US"/>
        </w:rPr>
        <w:t xml:space="preserve"> in </w:t>
      </w:r>
      <w:r w:rsidR="00750600">
        <w:rPr>
          <w:rFonts w:cs="Arial"/>
          <w:lang w:val="en-US"/>
        </w:rPr>
        <w:t xml:space="preserve">both </w:t>
      </w:r>
      <w:r w:rsidRPr="00FF08A9">
        <w:rPr>
          <w:rFonts w:cs="Arial"/>
          <w:lang w:val="en-US"/>
        </w:rPr>
        <w:t xml:space="preserve">high </w:t>
      </w:r>
      <w:r w:rsidR="002E4648">
        <w:rPr>
          <w:rFonts w:cs="Arial"/>
          <w:lang w:val="en-US"/>
        </w:rPr>
        <w:t xml:space="preserve">and low </w:t>
      </w:r>
      <w:r w:rsidRPr="00FF08A9">
        <w:rPr>
          <w:rFonts w:cs="Arial"/>
          <w:lang w:val="en-US"/>
        </w:rPr>
        <w:t>resolution</w:t>
      </w:r>
      <w:r w:rsidR="00750600">
        <w:rPr>
          <w:rFonts w:cs="Arial"/>
          <w:lang w:val="en-US"/>
        </w:rPr>
        <w:t>s</w:t>
      </w:r>
      <w:r w:rsidRPr="00FF08A9">
        <w:rPr>
          <w:rFonts w:cs="Arial"/>
          <w:lang w:val="en-US"/>
        </w:rPr>
        <w:t xml:space="preserve"> here: </w:t>
      </w:r>
      <w:hyperlink r:id="rId20">
        <w:r w:rsidR="00DC2731" w:rsidRPr="00FF08A9">
          <w:rPr>
            <w:rStyle w:val="Hyperlink"/>
            <w:rFonts w:cs="Arial"/>
            <w:lang w:val="en-US"/>
          </w:rPr>
          <w:t>Press releases from Quantron AG</w:t>
        </w:r>
      </w:hyperlink>
      <w:r w:rsidR="009A4F65" w:rsidRPr="00FF08A9">
        <w:rPr>
          <w:rFonts w:cs="Arial"/>
          <w:lang w:val="en-US"/>
        </w:rPr>
        <w:t xml:space="preserve"> (</w:t>
      </w:r>
      <w:r w:rsidR="0072361C" w:rsidRPr="00FF08A9">
        <w:rPr>
          <w:rFonts w:cs="Arial"/>
          <w:lang w:val="en-US"/>
        </w:rPr>
        <w:t>https://www.quantron.net/en/q-news/press-releases/</w:t>
      </w:r>
      <w:r w:rsidR="009A4F65" w:rsidRPr="00FF08A9">
        <w:rPr>
          <w:rFonts w:cs="Arial"/>
          <w:lang w:val="en-US"/>
        </w:rPr>
        <w:t>)</w:t>
      </w:r>
      <w:r w:rsidR="00F63FEA" w:rsidRPr="00FF08A9">
        <w:rPr>
          <w:rFonts w:cs="Arial"/>
          <w:lang w:val="en-US"/>
        </w:rPr>
        <w:t xml:space="preserve"> </w:t>
      </w:r>
    </w:p>
    <w:p w14:paraId="1FA71612" w14:textId="77777777" w:rsidR="002E02F7" w:rsidRPr="00FF08A9" w:rsidRDefault="002E02F7" w:rsidP="002E02F7">
      <w:pPr>
        <w:pStyle w:val="NormalWeb"/>
        <w:rPr>
          <w:rFonts w:ascii="Arial" w:hAnsi="Arial" w:cs="Arial"/>
          <w:sz w:val="20"/>
          <w:szCs w:val="20"/>
          <w:lang w:val="en-US"/>
        </w:rPr>
      </w:pPr>
      <w:r w:rsidRPr="00FF08A9">
        <w:rPr>
          <w:rStyle w:val="Strong"/>
          <w:rFonts w:ascii="Arial" w:hAnsi="Arial" w:cs="Arial"/>
          <w:sz w:val="20"/>
          <w:szCs w:val="20"/>
          <w:lang w:val="en-US"/>
        </w:rPr>
        <w:t>About Quantron AG</w:t>
      </w:r>
    </w:p>
    <w:p w14:paraId="6806689F" w14:textId="4500D9AF" w:rsidR="002E02F7" w:rsidRPr="00FF08A9" w:rsidRDefault="002E02F7" w:rsidP="002E02F7">
      <w:pPr>
        <w:pStyle w:val="NormalWeb"/>
        <w:rPr>
          <w:rFonts w:ascii="Arial" w:hAnsi="Arial" w:cs="Arial"/>
          <w:i/>
          <w:iCs/>
          <w:sz w:val="20"/>
          <w:szCs w:val="20"/>
          <w:lang w:val="en-US"/>
        </w:rPr>
      </w:pPr>
      <w:r w:rsidRPr="00FF08A9">
        <w:rPr>
          <w:rStyle w:val="Strong"/>
          <w:rFonts w:ascii="Arial" w:hAnsi="Arial" w:cs="Arial"/>
          <w:i/>
          <w:iCs/>
          <w:sz w:val="20"/>
          <w:szCs w:val="20"/>
          <w:lang w:val="en-US"/>
        </w:rPr>
        <w:t>Quantron AG is a platform provider and specialist for sustainable mobility</w:t>
      </w:r>
      <w:r w:rsidRPr="00FF08A9">
        <w:rPr>
          <w:rStyle w:val="Emphasis"/>
          <w:rFonts w:ascii="Arial" w:hAnsi="Arial" w:cs="Arial"/>
          <w:sz w:val="20"/>
          <w:szCs w:val="20"/>
          <w:lang w:val="en-US"/>
        </w:rPr>
        <w:t xml:space="preserve"> for people and goods; in particular for trucks, buses and vans with fully electric powertrains and H</w:t>
      </w:r>
      <w:r w:rsidRPr="00FF08A9">
        <w:rPr>
          <w:rStyle w:val="Emphasis"/>
          <w:rFonts w:ascii="Arial" w:hAnsi="Arial" w:cs="Arial"/>
          <w:sz w:val="20"/>
          <w:szCs w:val="20"/>
          <w:vertAlign w:val="subscript"/>
          <w:lang w:val="en-US"/>
        </w:rPr>
        <w:t>2</w:t>
      </w:r>
      <w:r w:rsidRPr="00FF08A9">
        <w:rPr>
          <w:rStyle w:val="Emphasis"/>
          <w:rFonts w:ascii="Arial" w:hAnsi="Arial" w:cs="Arial"/>
          <w:sz w:val="20"/>
          <w:szCs w:val="20"/>
          <w:lang w:val="en-US"/>
        </w:rPr>
        <w:t xml:space="preserve"> fuel cell technology. As a high-tech spinoff of the renowned Haller </w:t>
      </w:r>
      <w:r w:rsidR="006A56A5">
        <w:rPr>
          <w:rStyle w:val="Emphasis"/>
          <w:rFonts w:ascii="Arial" w:hAnsi="Arial" w:cs="Arial"/>
          <w:sz w:val="20"/>
          <w:szCs w:val="20"/>
          <w:lang w:val="en-US"/>
        </w:rPr>
        <w:t>GmbH</w:t>
      </w:r>
      <w:r w:rsidRPr="00FF08A9">
        <w:rPr>
          <w:rStyle w:val="Emphasis"/>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58E8872C" w14:textId="77E00D43" w:rsidR="002E02F7" w:rsidRPr="00FF08A9" w:rsidRDefault="002E02F7" w:rsidP="002E02F7">
      <w:pPr>
        <w:pStyle w:val="NormalWeb"/>
        <w:rPr>
          <w:rFonts w:ascii="Arial" w:hAnsi="Arial" w:cs="Arial"/>
          <w:i/>
          <w:iCs/>
          <w:sz w:val="20"/>
          <w:szCs w:val="20"/>
          <w:lang w:val="en-US"/>
        </w:rPr>
      </w:pPr>
      <w:r w:rsidRPr="00FF08A9">
        <w:rPr>
          <w:rStyle w:val="Emphasis"/>
          <w:rFonts w:ascii="Arial" w:hAnsi="Arial" w:cs="Arial"/>
          <w:sz w:val="20"/>
          <w:szCs w:val="20"/>
          <w:lang w:val="en-US"/>
        </w:rPr>
        <w:t xml:space="preserve">With the </w:t>
      </w:r>
      <w:r w:rsidRPr="00FF08A9">
        <w:rPr>
          <w:rStyle w:val="Strong"/>
          <w:rFonts w:ascii="Arial" w:hAnsi="Arial" w:cs="Arial"/>
          <w:i/>
          <w:iCs/>
          <w:sz w:val="20"/>
          <w:szCs w:val="20"/>
          <w:lang w:val="en-US"/>
        </w:rPr>
        <w:t>Quantron-as-a-Service Ecosystem</w:t>
      </w:r>
      <w:r w:rsidRPr="00FF08A9">
        <w:rPr>
          <w:rStyle w:val="Emphasis"/>
          <w:rFonts w:ascii="Arial" w:hAnsi="Arial" w:cs="Arial"/>
          <w:sz w:val="20"/>
          <w:szCs w:val="20"/>
          <w:lang w:val="en-US"/>
        </w:rPr>
        <w:t xml:space="preserve"> (QaaS), QUANTRON offers an overall concept that covers all facets of the mobility value chain: </w:t>
      </w:r>
      <w:r w:rsidRPr="00FF08A9">
        <w:rPr>
          <w:rStyle w:val="Strong"/>
          <w:rFonts w:ascii="Arial" w:hAnsi="Arial" w:cs="Arial"/>
          <w:i/>
          <w:iCs/>
          <w:sz w:val="20"/>
          <w:szCs w:val="20"/>
          <w:lang w:val="en-US"/>
        </w:rPr>
        <w:t>QUANTRON INSIDE</w:t>
      </w:r>
      <w:r w:rsidRPr="00FF08A9">
        <w:rPr>
          <w:rStyle w:val="Emphasis"/>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Strong"/>
          <w:rFonts w:ascii="Arial" w:hAnsi="Arial" w:cs="Arial"/>
          <w:i/>
          <w:iCs/>
          <w:sz w:val="20"/>
          <w:szCs w:val="20"/>
          <w:lang w:val="en-US"/>
        </w:rPr>
        <w:t xml:space="preserve">QUANTRON CUSTOMER </w:t>
      </w:r>
      <w:r w:rsidR="00645329" w:rsidRPr="00FF08A9">
        <w:rPr>
          <w:rStyle w:val="Strong"/>
          <w:rFonts w:ascii="Arial" w:hAnsi="Arial" w:cs="Arial"/>
          <w:i/>
          <w:iCs/>
          <w:sz w:val="20"/>
          <w:szCs w:val="20"/>
          <w:lang w:val="en-US"/>
        </w:rPr>
        <w:t>SOLUTIONS</w:t>
      </w:r>
      <w:r w:rsidRPr="00FF08A9">
        <w:rPr>
          <w:rStyle w:val="Emphasis"/>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Strong"/>
          <w:rFonts w:ascii="Arial" w:hAnsi="Arial" w:cs="Arial"/>
          <w:i/>
          <w:iCs/>
          <w:sz w:val="20"/>
          <w:szCs w:val="20"/>
          <w:lang w:val="en-US"/>
        </w:rPr>
        <w:t>QUANTRON ENERGY</w:t>
      </w:r>
      <w:r w:rsidR="00C55183" w:rsidRPr="00FF08A9">
        <w:rPr>
          <w:rStyle w:val="Strong"/>
          <w:rFonts w:ascii="Arial" w:hAnsi="Arial" w:cs="Arial"/>
          <w:i/>
          <w:iCs/>
          <w:sz w:val="20"/>
          <w:szCs w:val="20"/>
          <w:lang w:val="en-US"/>
        </w:rPr>
        <w:t xml:space="preserve"> &amp; POWER STATION</w:t>
      </w:r>
      <w:r w:rsidRPr="00FF08A9">
        <w:rPr>
          <w:rStyle w:val="Emphasis"/>
          <w:rFonts w:ascii="Arial" w:hAnsi="Arial" w:cs="Arial"/>
          <w:sz w:val="20"/>
          <w:szCs w:val="20"/>
          <w:lang w:val="en-US"/>
        </w:rPr>
        <w:t xml:space="preserve"> will realize the production of green hydrogen and electricity as a platform. To this end, Quantron AG has joined forces with strong global partners. This </w:t>
      </w:r>
      <w:r w:rsidR="00AE2380" w:rsidRPr="00FF08A9">
        <w:rPr>
          <w:rStyle w:val="Emphasis"/>
          <w:rFonts w:ascii="Arial" w:hAnsi="Arial" w:cs="Arial"/>
          <w:sz w:val="20"/>
          <w:szCs w:val="20"/>
          <w:lang w:val="en-US"/>
        </w:rPr>
        <w:t xml:space="preserve">Clean Transportation </w:t>
      </w:r>
      <w:r w:rsidRPr="00FF08A9">
        <w:rPr>
          <w:rStyle w:val="Emphasis"/>
          <w:rFonts w:ascii="Arial" w:hAnsi="Arial" w:cs="Arial"/>
          <w:sz w:val="20"/>
          <w:szCs w:val="20"/>
          <w:lang w:val="en-US"/>
        </w:rPr>
        <w:t>Alliance also forms an important building block for the supply of vehicles with the necessary green charging and H</w:t>
      </w:r>
      <w:r w:rsidRPr="00FF08A9">
        <w:rPr>
          <w:rStyle w:val="Emphasis"/>
          <w:rFonts w:ascii="Arial" w:hAnsi="Arial" w:cs="Arial"/>
          <w:sz w:val="20"/>
          <w:szCs w:val="20"/>
          <w:vertAlign w:val="subscript"/>
          <w:lang w:val="en-US"/>
        </w:rPr>
        <w:t>2</w:t>
      </w:r>
      <w:r w:rsidRPr="00FF08A9">
        <w:rPr>
          <w:rStyle w:val="Emphasis"/>
          <w:rFonts w:ascii="Arial" w:hAnsi="Arial" w:cs="Arial"/>
          <w:sz w:val="20"/>
          <w:szCs w:val="20"/>
          <w:lang w:val="en-US"/>
        </w:rPr>
        <w:t xml:space="preserve"> refueling infrastructure. </w:t>
      </w:r>
    </w:p>
    <w:p w14:paraId="6B967840" w14:textId="77777777" w:rsidR="002E02F7" w:rsidRPr="00FF08A9" w:rsidRDefault="002E02F7" w:rsidP="002E02F7">
      <w:pPr>
        <w:pStyle w:val="NormalWeb"/>
        <w:rPr>
          <w:rFonts w:ascii="Arial" w:hAnsi="Arial" w:cs="Arial"/>
          <w:i/>
          <w:iCs/>
          <w:sz w:val="20"/>
          <w:szCs w:val="20"/>
          <w:lang w:val="en-US"/>
        </w:rPr>
      </w:pPr>
      <w:r w:rsidRPr="00FF08A9">
        <w:rPr>
          <w:rStyle w:val="Emphasis"/>
          <w:rFonts w:ascii="Arial" w:hAnsi="Arial" w:cs="Arial"/>
          <w:sz w:val="20"/>
          <w:szCs w:val="20"/>
          <w:lang w:val="en-US"/>
        </w:rPr>
        <w:t xml:space="preserve"> QUANTRON stands for the core values </w:t>
      </w:r>
      <w:r w:rsidRPr="00FF08A9">
        <w:rPr>
          <w:rStyle w:val="Strong"/>
          <w:rFonts w:ascii="Arial" w:hAnsi="Arial" w:cs="Arial"/>
          <w:i/>
          <w:iCs/>
          <w:sz w:val="20"/>
          <w:szCs w:val="20"/>
          <w:lang w:val="en-US"/>
        </w:rPr>
        <w:t>Reliable, Energetic, Brave</w:t>
      </w:r>
      <w:r w:rsidRPr="00FF08A9">
        <w:rPr>
          <w:rStyle w:val="Emphasis"/>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1" w:history="1">
        <w:r w:rsidRPr="00FF08A9">
          <w:rPr>
            <w:rStyle w:val="Hyperlink"/>
            <w:rFonts w:ascii="Arial" w:hAnsi="Arial" w:cs="Arial"/>
            <w:i/>
            <w:iCs/>
            <w:sz w:val="20"/>
            <w:szCs w:val="20"/>
            <w:lang w:val="en-US"/>
          </w:rPr>
          <w:t>www.quantron.net</w:t>
        </w:r>
      </w:hyperlink>
    </w:p>
    <w:p w14:paraId="4A5162E4" w14:textId="36BC6D7C" w:rsidR="002E02F7" w:rsidRPr="00FF08A9" w:rsidRDefault="002E02F7" w:rsidP="002E02F7">
      <w:pPr>
        <w:pStyle w:val="NormalWeb"/>
        <w:rPr>
          <w:rFonts w:ascii="Arial" w:hAnsi="Arial" w:cs="Arial"/>
          <w:sz w:val="20"/>
          <w:szCs w:val="20"/>
          <w:lang w:val="en-US"/>
        </w:rPr>
      </w:pPr>
      <w:r w:rsidRPr="00FF08A9">
        <w:rPr>
          <w:rStyle w:val="Emphasis"/>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22" w:history="1">
        <w:r w:rsidRPr="00FF08A9">
          <w:rPr>
            <w:rStyle w:val="Emphasis"/>
            <w:rFonts w:ascii="Arial" w:hAnsi="Arial" w:cs="Arial"/>
            <w:color w:val="0000FF"/>
            <w:sz w:val="20"/>
            <w:szCs w:val="20"/>
            <w:u w:val="single"/>
            <w:lang w:val="en-US"/>
          </w:rPr>
          <w:t>LinkedIn</w:t>
        </w:r>
      </w:hyperlink>
      <w:r w:rsidRPr="00FF08A9">
        <w:rPr>
          <w:rStyle w:val="Emphasis"/>
          <w:rFonts w:ascii="Arial" w:hAnsi="Arial" w:cs="Arial"/>
          <w:sz w:val="20"/>
          <w:szCs w:val="20"/>
          <w:lang w:val="en-US"/>
        </w:rPr>
        <w:t xml:space="preserve"> and </w:t>
      </w:r>
      <w:hyperlink r:id="rId23" w:history="1">
        <w:r w:rsidRPr="00FF08A9">
          <w:rPr>
            <w:rStyle w:val="Emphasis"/>
            <w:rFonts w:ascii="Arial" w:hAnsi="Arial" w:cs="Arial"/>
            <w:color w:val="0000FF"/>
            <w:sz w:val="20"/>
            <w:szCs w:val="20"/>
            <w:u w:val="single"/>
            <w:lang w:val="en-US"/>
          </w:rPr>
          <w:t>YouTube</w:t>
        </w:r>
      </w:hyperlink>
      <w:r w:rsidRPr="00FF08A9">
        <w:rPr>
          <w:rStyle w:val="Emphasis"/>
          <w:rFonts w:ascii="Arial" w:hAnsi="Arial" w:cs="Arial"/>
          <w:sz w:val="20"/>
          <w:szCs w:val="20"/>
          <w:lang w:val="en-US"/>
        </w:rPr>
        <w:t>.</w:t>
      </w:r>
    </w:p>
    <w:p w14:paraId="7E5F4738" w14:textId="77777777" w:rsidR="002E02F7" w:rsidRPr="00FF08A9" w:rsidRDefault="002E02F7" w:rsidP="002E02F7">
      <w:pPr>
        <w:pStyle w:val="NormalWeb"/>
        <w:spacing w:line="324" w:lineRule="auto"/>
        <w:rPr>
          <w:rFonts w:ascii="Arial" w:hAnsi="Arial" w:cs="Arial"/>
          <w:lang w:val="en-US"/>
        </w:rPr>
      </w:pPr>
      <w:r w:rsidRPr="00FF08A9">
        <w:rPr>
          <w:rStyle w:val="Strong"/>
          <w:rFonts w:ascii="Arial" w:hAnsi="Arial" w:cs="Arial"/>
          <w:lang w:val="en-US"/>
        </w:rPr>
        <w:t xml:space="preserve">Your contact: </w:t>
      </w:r>
    </w:p>
    <w:p w14:paraId="5F0DCE40" w14:textId="62259C88" w:rsidR="15BB30EC" w:rsidRPr="00FF08A9" w:rsidRDefault="00234301" w:rsidP="00BD6E8F">
      <w:pPr>
        <w:rPr>
          <w:rFonts w:eastAsia="Calibri" w:cs="Arial"/>
          <w:lang w:val="en-US"/>
        </w:rPr>
      </w:pPr>
      <w:r w:rsidRPr="00FF08A9">
        <w:rPr>
          <w:rFonts w:cs="Arial"/>
          <w:color w:val="000000" w:themeColor="text1"/>
          <w:lang w:val="en-US"/>
        </w:rPr>
        <w:t>Jörg Zwilling, Director Global Communication</w:t>
      </w:r>
      <w:r w:rsidR="00896016">
        <w:rPr>
          <w:rFonts w:cs="Arial"/>
          <w:color w:val="000000" w:themeColor="text1"/>
          <w:lang w:val="en-US"/>
        </w:rPr>
        <w:t>s</w:t>
      </w:r>
      <w:r w:rsidRPr="00FF08A9">
        <w:rPr>
          <w:rFonts w:cs="Arial"/>
          <w:color w:val="000000" w:themeColor="text1"/>
          <w:lang w:val="en-US"/>
        </w:rPr>
        <w:t xml:space="preserve"> &amp; Business Development</w:t>
      </w:r>
      <w:r w:rsidR="007B02FB">
        <w:rPr>
          <w:rFonts w:cs="Arial"/>
          <w:color w:val="000000" w:themeColor="text1"/>
          <w:lang w:val="en-US"/>
        </w:rPr>
        <w:t xml:space="preserve"> Quantron AG</w:t>
      </w:r>
      <w:r w:rsidRPr="00FF08A9">
        <w:rPr>
          <w:rFonts w:cs="Arial"/>
          <w:color w:val="000000" w:themeColor="text1"/>
          <w:lang w:val="en-US"/>
        </w:rPr>
        <w:t xml:space="preserve">, </w:t>
      </w:r>
      <w:hyperlink r:id="rId24" w:history="1">
        <w:r w:rsidRPr="00FF08A9">
          <w:rPr>
            <w:rStyle w:val="normaltextrun"/>
            <w:rFonts w:cs="Arial"/>
            <w:color w:val="0000FF"/>
            <w:u w:val="single"/>
            <w:lang w:val="fr-BE"/>
          </w:rPr>
          <w:t>j.zwilling@quantron.net</w:t>
        </w:r>
      </w:hyperlink>
      <w:r w:rsidR="002E02F7" w:rsidRPr="00FF08A9">
        <w:rPr>
          <w:rFonts w:cs="Arial"/>
          <w:sz w:val="20"/>
          <w:szCs w:val="20"/>
          <w:lang w:val="en-US"/>
        </w:rPr>
        <w:br/>
      </w:r>
      <w:r w:rsidR="002E02F7" w:rsidRPr="00FF08A9">
        <w:rPr>
          <w:rFonts w:cs="Arial"/>
          <w:lang w:val="en-US"/>
        </w:rPr>
        <w:t xml:space="preserve">Stephanie Miller, Marketing &amp; Communications Quantron AG, </w:t>
      </w:r>
      <w:hyperlink r:id="rId25" w:history="1">
        <w:r w:rsidR="002E02F7" w:rsidRPr="00FF08A9">
          <w:rPr>
            <w:rStyle w:val="Hyperlink"/>
            <w:rFonts w:cs="Arial"/>
            <w:lang w:val="en-US"/>
          </w:rPr>
          <w:t>press@quantron.net</w:t>
        </w:r>
      </w:hyperlink>
      <w:r w:rsidR="0026162A" w:rsidRPr="00FF08A9">
        <w:rPr>
          <w:rFonts w:eastAsia="Calibri" w:cs="Arial"/>
          <w:lang w:val="en-US"/>
        </w:rPr>
        <w:br/>
      </w:r>
    </w:p>
    <w:sectPr w:rsidR="15BB30EC" w:rsidRPr="00FF08A9" w:rsidSect="00B15014">
      <w:headerReference w:type="default" r:id="rId26"/>
      <w:footerReference w:type="default" r:id="rId27"/>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4F9F0" w14:textId="77777777" w:rsidR="00522B4F" w:rsidRDefault="00522B4F" w:rsidP="00AE78E4">
      <w:pPr>
        <w:spacing w:after="0" w:line="240" w:lineRule="auto"/>
      </w:pPr>
      <w:r>
        <w:separator/>
      </w:r>
    </w:p>
  </w:endnote>
  <w:endnote w:type="continuationSeparator" w:id="0">
    <w:p w14:paraId="6CC88A4A" w14:textId="77777777" w:rsidR="00522B4F" w:rsidRDefault="00522B4F" w:rsidP="00AE78E4">
      <w:pPr>
        <w:spacing w:after="0" w:line="240" w:lineRule="auto"/>
      </w:pPr>
      <w:r>
        <w:continuationSeparator/>
      </w:r>
    </w:p>
  </w:endnote>
  <w:endnote w:type="continuationNotice" w:id="1">
    <w:p w14:paraId="70FBB07B" w14:textId="77777777" w:rsidR="00522B4F" w:rsidRDefault="00522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8E990" w14:textId="77777777" w:rsidR="00EE5C36" w:rsidRPr="000944FD" w:rsidRDefault="00EE5C36" w:rsidP="00EE5C36">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540D112" id="_x0000_t202" coordsize="21600,21600" o:spt="202" path="m,l,21600r21600,l21600,xe">
              <v:stroke joinstyle="miter"/>
              <v:path gradientshapeok="t" o:connecttype="rect"/>
            </v:shapetype>
            <v:shape id="Text Box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E97E88">
                      <w:fldChar w:fldCharType="begin"/>
                    </w:r>
                    <w:r w:rsidR="00E97E88">
                      <w:instrText>NUMPAGES  \* Arabic  \* MERGEFORMAT</w:instrText>
                    </w:r>
                    <w:r w:rsidR="00E97E88">
                      <w:fldChar w:fldCharType="separate"/>
                    </w:r>
                    <w:r w:rsidR="00851F4C" w:rsidRPr="00851F4C">
                      <w:rPr>
                        <w:bCs/>
                        <w:noProof/>
                        <w:color w:val="0971B7"/>
                        <w:sz w:val="16"/>
                        <w:szCs w:val="16"/>
                      </w:rPr>
                      <w:t>2</w:t>
                    </w:r>
                    <w:r w:rsidR="00E97E88">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2A157E2" id="Group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C2DBA" w14:textId="77777777" w:rsidR="00522B4F" w:rsidRDefault="00522B4F" w:rsidP="00AE78E4">
      <w:pPr>
        <w:spacing w:after="0" w:line="240" w:lineRule="auto"/>
      </w:pPr>
      <w:r>
        <w:separator/>
      </w:r>
    </w:p>
  </w:footnote>
  <w:footnote w:type="continuationSeparator" w:id="0">
    <w:p w14:paraId="2EDD1CEF" w14:textId="77777777" w:rsidR="00522B4F" w:rsidRDefault="00522B4F" w:rsidP="00AE78E4">
      <w:pPr>
        <w:spacing w:after="0" w:line="240" w:lineRule="auto"/>
      </w:pPr>
      <w:r>
        <w:continuationSeparator/>
      </w:r>
    </w:p>
  </w:footnote>
  <w:footnote w:type="continuationNotice" w:id="1">
    <w:p w14:paraId="214BB576" w14:textId="77777777" w:rsidR="00522B4F" w:rsidRDefault="00522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047F1" w14:textId="78C3EA7F" w:rsidR="00AE78E4" w:rsidRDefault="00096D43" w:rsidP="001A0965">
    <w:pPr>
      <w:pStyle w:val="Header"/>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2FA7"/>
    <w:rsid w:val="000117DC"/>
    <w:rsid w:val="00012331"/>
    <w:rsid w:val="00023566"/>
    <w:rsid w:val="00032052"/>
    <w:rsid w:val="0003259C"/>
    <w:rsid w:val="00035E2A"/>
    <w:rsid w:val="00035FFF"/>
    <w:rsid w:val="000360CB"/>
    <w:rsid w:val="000371E5"/>
    <w:rsid w:val="000538AD"/>
    <w:rsid w:val="00054DE0"/>
    <w:rsid w:val="000623DC"/>
    <w:rsid w:val="000645AD"/>
    <w:rsid w:val="000928E5"/>
    <w:rsid w:val="00096D43"/>
    <w:rsid w:val="000A398B"/>
    <w:rsid w:val="000A7014"/>
    <w:rsid w:val="000C14CE"/>
    <w:rsid w:val="000C1DC4"/>
    <w:rsid w:val="000C6948"/>
    <w:rsid w:val="000C71F9"/>
    <w:rsid w:val="00105C2B"/>
    <w:rsid w:val="00113A8A"/>
    <w:rsid w:val="00113E8F"/>
    <w:rsid w:val="001417A9"/>
    <w:rsid w:val="00150D45"/>
    <w:rsid w:val="001536A5"/>
    <w:rsid w:val="00153862"/>
    <w:rsid w:val="00154823"/>
    <w:rsid w:val="00162E66"/>
    <w:rsid w:val="0016309B"/>
    <w:rsid w:val="00174480"/>
    <w:rsid w:val="00182B88"/>
    <w:rsid w:val="001875DD"/>
    <w:rsid w:val="001A0965"/>
    <w:rsid w:val="001A1178"/>
    <w:rsid w:val="001A52B1"/>
    <w:rsid w:val="001A792F"/>
    <w:rsid w:val="001B63EE"/>
    <w:rsid w:val="001C3B18"/>
    <w:rsid w:val="001C7087"/>
    <w:rsid w:val="001D75BD"/>
    <w:rsid w:val="001E16CA"/>
    <w:rsid w:val="001E190F"/>
    <w:rsid w:val="001E1C2B"/>
    <w:rsid w:val="001E3047"/>
    <w:rsid w:val="001F031E"/>
    <w:rsid w:val="001F0FDD"/>
    <w:rsid w:val="001F3857"/>
    <w:rsid w:val="00217303"/>
    <w:rsid w:val="00221D25"/>
    <w:rsid w:val="002227F2"/>
    <w:rsid w:val="0022565D"/>
    <w:rsid w:val="00226A27"/>
    <w:rsid w:val="00234301"/>
    <w:rsid w:val="002353A6"/>
    <w:rsid w:val="00240BEA"/>
    <w:rsid w:val="0024135C"/>
    <w:rsid w:val="0025057D"/>
    <w:rsid w:val="0025461D"/>
    <w:rsid w:val="0026162A"/>
    <w:rsid w:val="002633B3"/>
    <w:rsid w:val="00273889"/>
    <w:rsid w:val="00275C5D"/>
    <w:rsid w:val="002801EA"/>
    <w:rsid w:val="00291E11"/>
    <w:rsid w:val="00294E66"/>
    <w:rsid w:val="00294F24"/>
    <w:rsid w:val="002973BE"/>
    <w:rsid w:val="002975E2"/>
    <w:rsid w:val="002975FA"/>
    <w:rsid w:val="002C3500"/>
    <w:rsid w:val="002C64E1"/>
    <w:rsid w:val="002C7249"/>
    <w:rsid w:val="002D0904"/>
    <w:rsid w:val="002E02F7"/>
    <w:rsid w:val="002E4648"/>
    <w:rsid w:val="002E51EA"/>
    <w:rsid w:val="002E78E9"/>
    <w:rsid w:val="002F397F"/>
    <w:rsid w:val="002F5AE4"/>
    <w:rsid w:val="002F7680"/>
    <w:rsid w:val="003172FA"/>
    <w:rsid w:val="00320725"/>
    <w:rsid w:val="00320FE3"/>
    <w:rsid w:val="00331FFD"/>
    <w:rsid w:val="00370BC2"/>
    <w:rsid w:val="003754CA"/>
    <w:rsid w:val="00377865"/>
    <w:rsid w:val="003824EA"/>
    <w:rsid w:val="00390E1C"/>
    <w:rsid w:val="003C0EF8"/>
    <w:rsid w:val="003D3DC5"/>
    <w:rsid w:val="003E700E"/>
    <w:rsid w:val="003F01E4"/>
    <w:rsid w:val="003F1AAC"/>
    <w:rsid w:val="003F6267"/>
    <w:rsid w:val="003F63B3"/>
    <w:rsid w:val="00401889"/>
    <w:rsid w:val="00421C03"/>
    <w:rsid w:val="00423723"/>
    <w:rsid w:val="00453D0A"/>
    <w:rsid w:val="004610D8"/>
    <w:rsid w:val="0046663A"/>
    <w:rsid w:val="00473615"/>
    <w:rsid w:val="00475C54"/>
    <w:rsid w:val="004954AD"/>
    <w:rsid w:val="00497C35"/>
    <w:rsid w:val="004A2B2D"/>
    <w:rsid w:val="004B32B0"/>
    <w:rsid w:val="004B3DD1"/>
    <w:rsid w:val="004C0FE8"/>
    <w:rsid w:val="004E1467"/>
    <w:rsid w:val="005012F4"/>
    <w:rsid w:val="00504F1D"/>
    <w:rsid w:val="00511047"/>
    <w:rsid w:val="00522B4F"/>
    <w:rsid w:val="005240B0"/>
    <w:rsid w:val="005248CC"/>
    <w:rsid w:val="0052668B"/>
    <w:rsid w:val="00534909"/>
    <w:rsid w:val="0053512B"/>
    <w:rsid w:val="005352CC"/>
    <w:rsid w:val="00536239"/>
    <w:rsid w:val="00537E69"/>
    <w:rsid w:val="005546AA"/>
    <w:rsid w:val="0056386B"/>
    <w:rsid w:val="00592440"/>
    <w:rsid w:val="005D0045"/>
    <w:rsid w:val="005D2334"/>
    <w:rsid w:val="005D2817"/>
    <w:rsid w:val="005E2014"/>
    <w:rsid w:val="005F46E7"/>
    <w:rsid w:val="005F4ABF"/>
    <w:rsid w:val="00605D30"/>
    <w:rsid w:val="00616F4A"/>
    <w:rsid w:val="00634747"/>
    <w:rsid w:val="00645329"/>
    <w:rsid w:val="006511D8"/>
    <w:rsid w:val="00671A6F"/>
    <w:rsid w:val="00676D9C"/>
    <w:rsid w:val="00682DB0"/>
    <w:rsid w:val="0069705D"/>
    <w:rsid w:val="006A56A5"/>
    <w:rsid w:val="006B0E2C"/>
    <w:rsid w:val="006B4D38"/>
    <w:rsid w:val="006B51B7"/>
    <w:rsid w:val="006B7543"/>
    <w:rsid w:val="006C35E2"/>
    <w:rsid w:val="006F5BB8"/>
    <w:rsid w:val="00710CE9"/>
    <w:rsid w:val="007145E8"/>
    <w:rsid w:val="0071627E"/>
    <w:rsid w:val="0072361C"/>
    <w:rsid w:val="00726F6E"/>
    <w:rsid w:val="0074160C"/>
    <w:rsid w:val="00745FEA"/>
    <w:rsid w:val="00750600"/>
    <w:rsid w:val="00754015"/>
    <w:rsid w:val="007628A4"/>
    <w:rsid w:val="00765BB9"/>
    <w:rsid w:val="00775363"/>
    <w:rsid w:val="00776508"/>
    <w:rsid w:val="00776D92"/>
    <w:rsid w:val="00790717"/>
    <w:rsid w:val="007A31B0"/>
    <w:rsid w:val="007B02FB"/>
    <w:rsid w:val="007B29FD"/>
    <w:rsid w:val="007D27BB"/>
    <w:rsid w:val="007D2FC7"/>
    <w:rsid w:val="007E205D"/>
    <w:rsid w:val="007E37C8"/>
    <w:rsid w:val="007E3AE1"/>
    <w:rsid w:val="007E4B37"/>
    <w:rsid w:val="007E5F19"/>
    <w:rsid w:val="007E6A5C"/>
    <w:rsid w:val="007F26C0"/>
    <w:rsid w:val="007F3AB0"/>
    <w:rsid w:val="008103CB"/>
    <w:rsid w:val="00811A60"/>
    <w:rsid w:val="008269B4"/>
    <w:rsid w:val="00845F52"/>
    <w:rsid w:val="00851F4C"/>
    <w:rsid w:val="0085284F"/>
    <w:rsid w:val="008768DA"/>
    <w:rsid w:val="008838EC"/>
    <w:rsid w:val="0088536F"/>
    <w:rsid w:val="00886DBF"/>
    <w:rsid w:val="00896016"/>
    <w:rsid w:val="008A116F"/>
    <w:rsid w:val="008A41D6"/>
    <w:rsid w:val="008A7DEE"/>
    <w:rsid w:val="008B421F"/>
    <w:rsid w:val="008B6C8B"/>
    <w:rsid w:val="008B735F"/>
    <w:rsid w:val="008B7AF6"/>
    <w:rsid w:val="008D4615"/>
    <w:rsid w:val="008E251B"/>
    <w:rsid w:val="008E51D6"/>
    <w:rsid w:val="008F514A"/>
    <w:rsid w:val="009004C8"/>
    <w:rsid w:val="009071ED"/>
    <w:rsid w:val="009138CA"/>
    <w:rsid w:val="009248EA"/>
    <w:rsid w:val="009260C6"/>
    <w:rsid w:val="00940AEE"/>
    <w:rsid w:val="00944B0D"/>
    <w:rsid w:val="00981CBD"/>
    <w:rsid w:val="00982ACB"/>
    <w:rsid w:val="00987B5A"/>
    <w:rsid w:val="009A4F65"/>
    <w:rsid w:val="009A527F"/>
    <w:rsid w:val="009C434C"/>
    <w:rsid w:val="009D4395"/>
    <w:rsid w:val="009E2573"/>
    <w:rsid w:val="009F01B3"/>
    <w:rsid w:val="00A055C7"/>
    <w:rsid w:val="00A1262D"/>
    <w:rsid w:val="00A12F98"/>
    <w:rsid w:val="00A1558E"/>
    <w:rsid w:val="00A170CF"/>
    <w:rsid w:val="00A20FB1"/>
    <w:rsid w:val="00A45115"/>
    <w:rsid w:val="00A459AF"/>
    <w:rsid w:val="00A51E69"/>
    <w:rsid w:val="00A53D29"/>
    <w:rsid w:val="00A5551E"/>
    <w:rsid w:val="00A60ED5"/>
    <w:rsid w:val="00A713C1"/>
    <w:rsid w:val="00A80F21"/>
    <w:rsid w:val="00A83308"/>
    <w:rsid w:val="00A939FD"/>
    <w:rsid w:val="00A9587D"/>
    <w:rsid w:val="00A9700E"/>
    <w:rsid w:val="00AA4663"/>
    <w:rsid w:val="00AC7214"/>
    <w:rsid w:val="00AD272C"/>
    <w:rsid w:val="00AD2BD6"/>
    <w:rsid w:val="00AE205D"/>
    <w:rsid w:val="00AE2380"/>
    <w:rsid w:val="00AE29CD"/>
    <w:rsid w:val="00AE5EDF"/>
    <w:rsid w:val="00AE78E4"/>
    <w:rsid w:val="00B15014"/>
    <w:rsid w:val="00B2162B"/>
    <w:rsid w:val="00B22998"/>
    <w:rsid w:val="00B2775B"/>
    <w:rsid w:val="00B31303"/>
    <w:rsid w:val="00B45616"/>
    <w:rsid w:val="00B60081"/>
    <w:rsid w:val="00B64882"/>
    <w:rsid w:val="00B87F7B"/>
    <w:rsid w:val="00BA1CC6"/>
    <w:rsid w:val="00BA2B45"/>
    <w:rsid w:val="00BA6AD9"/>
    <w:rsid w:val="00BC49AA"/>
    <w:rsid w:val="00BC78D6"/>
    <w:rsid w:val="00BC7E72"/>
    <w:rsid w:val="00BD6E8F"/>
    <w:rsid w:val="00BE057C"/>
    <w:rsid w:val="00BE073B"/>
    <w:rsid w:val="00BF688A"/>
    <w:rsid w:val="00BF6D6D"/>
    <w:rsid w:val="00C0655B"/>
    <w:rsid w:val="00C0706E"/>
    <w:rsid w:val="00C35099"/>
    <w:rsid w:val="00C36740"/>
    <w:rsid w:val="00C44DDA"/>
    <w:rsid w:val="00C44FDD"/>
    <w:rsid w:val="00C45A18"/>
    <w:rsid w:val="00C55183"/>
    <w:rsid w:val="00C63E4C"/>
    <w:rsid w:val="00C6703B"/>
    <w:rsid w:val="00C867F7"/>
    <w:rsid w:val="00C96478"/>
    <w:rsid w:val="00CB1805"/>
    <w:rsid w:val="00CC27C4"/>
    <w:rsid w:val="00CC4073"/>
    <w:rsid w:val="00CD1E78"/>
    <w:rsid w:val="00CE5E8B"/>
    <w:rsid w:val="00CF1072"/>
    <w:rsid w:val="00CF2311"/>
    <w:rsid w:val="00CF77BF"/>
    <w:rsid w:val="00D0397A"/>
    <w:rsid w:val="00D040AD"/>
    <w:rsid w:val="00D1005C"/>
    <w:rsid w:val="00D17C43"/>
    <w:rsid w:val="00D21EE9"/>
    <w:rsid w:val="00D34006"/>
    <w:rsid w:val="00D422CB"/>
    <w:rsid w:val="00D4442A"/>
    <w:rsid w:val="00D46BFB"/>
    <w:rsid w:val="00D4707E"/>
    <w:rsid w:val="00D51998"/>
    <w:rsid w:val="00D63CA1"/>
    <w:rsid w:val="00D7496D"/>
    <w:rsid w:val="00D773AD"/>
    <w:rsid w:val="00D85EC7"/>
    <w:rsid w:val="00D86D4D"/>
    <w:rsid w:val="00D90DAF"/>
    <w:rsid w:val="00D92FA5"/>
    <w:rsid w:val="00DC2731"/>
    <w:rsid w:val="00DC6508"/>
    <w:rsid w:val="00DE1DCF"/>
    <w:rsid w:val="00DE4E57"/>
    <w:rsid w:val="00DF5878"/>
    <w:rsid w:val="00DF60E0"/>
    <w:rsid w:val="00E13E09"/>
    <w:rsid w:val="00E27DC9"/>
    <w:rsid w:val="00E35B4F"/>
    <w:rsid w:val="00E3707F"/>
    <w:rsid w:val="00E44092"/>
    <w:rsid w:val="00E46429"/>
    <w:rsid w:val="00E512CE"/>
    <w:rsid w:val="00E55CD3"/>
    <w:rsid w:val="00E707A5"/>
    <w:rsid w:val="00E7139B"/>
    <w:rsid w:val="00E767EC"/>
    <w:rsid w:val="00E91B7E"/>
    <w:rsid w:val="00E97E88"/>
    <w:rsid w:val="00EA7185"/>
    <w:rsid w:val="00EB04DB"/>
    <w:rsid w:val="00EB1D0B"/>
    <w:rsid w:val="00EC5ECD"/>
    <w:rsid w:val="00ED266A"/>
    <w:rsid w:val="00ED4171"/>
    <w:rsid w:val="00EE5C36"/>
    <w:rsid w:val="00F04C31"/>
    <w:rsid w:val="00F05EA4"/>
    <w:rsid w:val="00F1572B"/>
    <w:rsid w:val="00F21DC3"/>
    <w:rsid w:val="00F22844"/>
    <w:rsid w:val="00F27900"/>
    <w:rsid w:val="00F36DCB"/>
    <w:rsid w:val="00F3742E"/>
    <w:rsid w:val="00F63FEA"/>
    <w:rsid w:val="00F72981"/>
    <w:rsid w:val="00F8708A"/>
    <w:rsid w:val="00FA306B"/>
    <w:rsid w:val="00FB193E"/>
    <w:rsid w:val="00FB59B4"/>
    <w:rsid w:val="00FC3EBE"/>
    <w:rsid w:val="00FC6EB1"/>
    <w:rsid w:val="00FD2790"/>
    <w:rsid w:val="00FD3FB9"/>
    <w:rsid w:val="00FD41AC"/>
    <w:rsid w:val="00FE17FF"/>
    <w:rsid w:val="00FF0798"/>
    <w:rsid w:val="00FF08A9"/>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6F3025D9-DFBA-4BE5-9FF4-114D15C8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FA"/>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Strong">
    <w:name w:val="Strong"/>
    <w:basedOn w:val="DefaultParagraphFont"/>
    <w:uiPriority w:val="22"/>
    <w:qFormat/>
    <w:rsid w:val="002E02F7"/>
    <w:rPr>
      <w:b/>
      <w:bCs/>
    </w:rPr>
  </w:style>
  <w:style w:type="character" w:styleId="Emphasis">
    <w:name w:val="Emphasis"/>
    <w:basedOn w:val="DefaultParagraphFont"/>
    <w:uiPriority w:val="20"/>
    <w:qFormat/>
    <w:rsid w:val="002E02F7"/>
    <w:rPr>
      <w:i/>
      <w:iCs/>
    </w:rPr>
  </w:style>
  <w:style w:type="character" w:customStyle="1" w:styleId="normaltextrun">
    <w:name w:val="normaltextrun"/>
    <w:basedOn w:val="DefaultParagraphFont"/>
    <w:rsid w:val="0023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wp-content/uploads/2023/10/Alpaslan-Deliloglu-and-Andreas-Haller.jp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3/10/Quantron-QLI-Zero-Emission-Fleet-scaled.jpg" TargetMode="External"/><Relationship Id="rId17" Type="http://schemas.openxmlformats.org/officeDocument/2006/relationships/image" Target="media/image3.jpeg"/><Relationship Id="rId25" Type="http://schemas.openxmlformats.org/officeDocument/2006/relationships/hyperlink" Target="mailto:press@quantron.net" TargetMode="External"/><Relationship Id="rId2" Type="http://schemas.openxmlformats.org/officeDocument/2006/relationships/customXml" Target="../customXml/item2.xml"/><Relationship Id="rId16" Type="http://schemas.openxmlformats.org/officeDocument/2006/relationships/hyperlink" Target="https://www.quantron.net/wp-content/uploads/2023/10/QUANTRON-QLI-FCEV-Zero-Emission-Fleet-Ikea-Austria.jpg" TargetMode="External"/><Relationship Id="rId20" Type="http://schemas.openxmlformats.org/officeDocument/2006/relationships/hyperlink" Target="https://www.quantron.net/en/q-news/press-releas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yperlink" Target="mailto:j.zwilling@quantron.ne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10/QUANTRON-QLI-FCEV.jpg" TargetMode="External"/><Relationship Id="rId22"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3A27422E-A99F-4997-9F66-01B9F165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1027</Words>
  <Characters>5856</Characters>
  <Application>Microsoft Office Word</Application>
  <DocSecurity>4</DocSecurity>
  <Lines>48</Lines>
  <Paragraphs>13</Paragraphs>
  <ScaleCrop>false</ScaleCrop>
  <Company/>
  <LinksUpToDate>false</LinksUpToDate>
  <CharactersWithSpaces>6870</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8257621</vt:i4>
      </vt:variant>
      <vt:variant>
        <vt:i4>12</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9</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6</vt:i4>
      </vt:variant>
      <vt:variant>
        <vt:i4>0</vt:i4>
      </vt:variant>
      <vt:variant>
        <vt:i4>5</vt:i4>
      </vt:variant>
      <vt:variant>
        <vt:lpwstr>http://www.quantron.net/</vt:lpwstr>
      </vt:variant>
      <vt:variant>
        <vt:lpwstr/>
      </vt:variant>
      <vt:variant>
        <vt:i4>7798826</vt:i4>
      </vt:variant>
      <vt:variant>
        <vt:i4>3</vt:i4>
      </vt:variant>
      <vt:variant>
        <vt:i4>0</vt:i4>
      </vt:variant>
      <vt:variant>
        <vt:i4>5</vt:i4>
      </vt:variant>
      <vt:variant>
        <vt:lpwstr>https://www.quantron.net/en/q-news/press-releases/</vt:lpwstr>
      </vt:variant>
      <vt:variant>
        <vt:lpwstr/>
      </vt:variant>
      <vt:variant>
        <vt:i4>2752552</vt:i4>
      </vt:variant>
      <vt:variant>
        <vt:i4>0</vt:i4>
      </vt:variant>
      <vt:variant>
        <vt:i4>0</vt:i4>
      </vt:variant>
      <vt:variant>
        <vt:i4>5</vt:i4>
      </vt:variant>
      <vt:variant>
        <vt:lpwstr>http://www.quantron.net/en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Pitton | Quantron AG</dc:creator>
  <cp:keywords/>
  <cp:lastModifiedBy>Stephanie Miller | Quantron AG</cp:lastModifiedBy>
  <cp:revision>18</cp:revision>
  <dcterms:created xsi:type="dcterms:W3CDTF">2023-10-07T00:57:00Z</dcterms:created>
  <dcterms:modified xsi:type="dcterms:W3CDTF">2023-10-09T16:24:00Z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