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CB4D" w14:textId="488D9E11" w:rsidR="007F3AB0" w:rsidRPr="00A307D1" w:rsidRDefault="006C1A84" w:rsidP="002975E2">
      <w:pPr>
        <w:tabs>
          <w:tab w:val="right" w:pos="9356"/>
        </w:tabs>
        <w:spacing w:after="0" w:line="360" w:lineRule="auto"/>
        <w:rPr>
          <w:rFonts w:cs="Arial"/>
          <w:sz w:val="20"/>
          <w:lang w:val="en-US"/>
        </w:rPr>
      </w:pPr>
      <w:r w:rsidRPr="00A307D1">
        <w:rPr>
          <w:rFonts w:cs="Arial"/>
          <w:lang w:val="en-US"/>
        </w:rPr>
        <w:t>PRESS</w:t>
      </w:r>
      <w:r w:rsidR="00845F52" w:rsidRPr="00A307D1">
        <w:rPr>
          <w:rFonts w:cs="Arial"/>
          <w:lang w:val="en-US"/>
        </w:rPr>
        <w:t xml:space="preserve"> RELEASE</w:t>
      </w:r>
      <w:r w:rsidRPr="00A307D1">
        <w:rPr>
          <w:rFonts w:cs="Arial"/>
          <w:lang w:val="en-US"/>
        </w:rPr>
        <w:tab/>
      </w:r>
      <w:r w:rsidRPr="002D436F">
        <w:rPr>
          <w:rFonts w:cs="Arial"/>
          <w:sz w:val="18"/>
          <w:lang w:val="en-US"/>
        </w:rPr>
        <w:t>November</w:t>
      </w:r>
      <w:r w:rsidR="00840BB0" w:rsidRPr="002D436F">
        <w:rPr>
          <w:rFonts w:cs="Arial"/>
          <w:sz w:val="18"/>
          <w:lang w:val="en-US"/>
        </w:rPr>
        <w:t xml:space="preserve"> </w:t>
      </w:r>
      <w:r w:rsidR="00180607">
        <w:rPr>
          <w:rFonts w:cs="Arial"/>
          <w:sz w:val="18"/>
          <w:lang w:val="en-US"/>
        </w:rPr>
        <w:t>13</w:t>
      </w:r>
      <w:r w:rsidR="0020391A" w:rsidRPr="0020391A">
        <w:rPr>
          <w:rFonts w:cs="Arial"/>
          <w:sz w:val="18"/>
          <w:vertAlign w:val="superscript"/>
          <w:lang w:val="en-US"/>
        </w:rPr>
        <w:t>th</w:t>
      </w:r>
      <w:r w:rsidR="00FC3EBE" w:rsidRPr="002D436F">
        <w:rPr>
          <w:rFonts w:cs="Arial"/>
          <w:sz w:val="18"/>
          <w:lang w:val="en-US"/>
        </w:rPr>
        <w:t>, 202</w:t>
      </w:r>
      <w:r w:rsidR="00AE205D" w:rsidRPr="002D436F">
        <w:rPr>
          <w:rFonts w:cs="Arial"/>
          <w:sz w:val="18"/>
          <w:lang w:val="en-US"/>
        </w:rPr>
        <w:t>3</w:t>
      </w:r>
      <w:r w:rsidR="00FC3EBE" w:rsidRPr="00A307D1">
        <w:rPr>
          <w:rFonts w:cs="Arial"/>
          <w:sz w:val="18"/>
          <w:lang w:val="en-US"/>
        </w:rPr>
        <w:t xml:space="preserve">  </w:t>
      </w:r>
    </w:p>
    <w:p w14:paraId="67601A7E" w14:textId="77777777" w:rsidR="002975FA" w:rsidRPr="00A307D1" w:rsidRDefault="006C1A84" w:rsidP="00A225D1">
      <w:pPr>
        <w:spacing w:before="340" w:after="340" w:line="240" w:lineRule="auto"/>
        <w:rPr>
          <w:rFonts w:cs="Arial"/>
          <w:b/>
          <w:bCs/>
          <w:sz w:val="28"/>
          <w:szCs w:val="28"/>
          <w:lang w:val="en-US"/>
        </w:rPr>
      </w:pPr>
      <w:r w:rsidRPr="00A307D1">
        <w:rPr>
          <w:rFonts w:cs="Arial"/>
          <w:b/>
          <w:bCs/>
          <w:sz w:val="28"/>
          <w:szCs w:val="28"/>
          <w:lang w:val="en-US"/>
        </w:rPr>
        <w:t>Oilinvest and QUANTRON accelerate deployment of fuel cell commercial vehicles and expand Hydrogen-based ecosystem</w:t>
      </w:r>
    </w:p>
    <w:p w14:paraId="6CE54596" w14:textId="54C2B17B" w:rsidR="00377700" w:rsidRPr="00A307D1" w:rsidRDefault="008D7643" w:rsidP="00CD4CE1">
      <w:pPr>
        <w:rPr>
          <w:lang w:val="en-US"/>
        </w:rPr>
      </w:pPr>
      <w:hyperlink r:id="rId11" w:history="1">
        <w:r w:rsidR="006C1A84" w:rsidRPr="00A307D1">
          <w:rPr>
            <w:rStyle w:val="Hyperlink"/>
            <w:lang w:val="en-US"/>
          </w:rPr>
          <w:t>Oilinvest</w:t>
        </w:r>
      </w:hyperlink>
      <w:r w:rsidR="006C1A84" w:rsidRPr="00A307D1">
        <w:rPr>
          <w:lang w:val="en-US"/>
        </w:rPr>
        <w:t xml:space="preserve"> and </w:t>
      </w:r>
      <w:hyperlink r:id="rId12" w:history="1">
        <w:r w:rsidR="006C1A84" w:rsidRPr="00A307D1">
          <w:rPr>
            <w:rStyle w:val="Hyperlink"/>
            <w:lang w:val="en-US"/>
          </w:rPr>
          <w:t>Quantron AG</w:t>
        </w:r>
      </w:hyperlink>
      <w:r w:rsidR="006C1A84" w:rsidRPr="00A307D1">
        <w:rPr>
          <w:lang w:val="en-US"/>
        </w:rPr>
        <w:t xml:space="preserve"> have signed a strategic partnership agreement to build hydrogen-based refueling infrastructure to supply Fuel Cell Electric heavy trucks (FCEV</w:t>
      </w:r>
      <w:r w:rsidR="00CD3E89" w:rsidRPr="00A307D1">
        <w:rPr>
          <w:lang w:val="en-US"/>
        </w:rPr>
        <w:t>)</w:t>
      </w:r>
      <w:r w:rsidR="006C1A84" w:rsidRPr="00A307D1">
        <w:rPr>
          <w:lang w:val="en-US"/>
        </w:rPr>
        <w:t>. The</w:t>
      </w:r>
      <w:r w:rsidR="000D1A30" w:rsidRPr="00A307D1">
        <w:rPr>
          <w:lang w:val="en-US"/>
        </w:rPr>
        <w:t xml:space="preserve"> </w:t>
      </w:r>
      <w:r w:rsidR="00DD71EC" w:rsidRPr="00A307D1">
        <w:rPr>
          <w:lang w:val="en-US"/>
        </w:rPr>
        <w:t>partnership gave way to a new</w:t>
      </w:r>
      <w:r w:rsidR="006C1A84" w:rsidRPr="00A307D1">
        <w:rPr>
          <w:lang w:val="en-US"/>
        </w:rPr>
        <w:t xml:space="preserve"> </w:t>
      </w:r>
      <w:r w:rsidR="00FC21AD" w:rsidRPr="00A307D1">
        <w:rPr>
          <w:lang w:val="en-US"/>
        </w:rPr>
        <w:t>joint venture named HEMTRON</w:t>
      </w:r>
      <w:r w:rsidR="005A3498" w:rsidRPr="00A307D1">
        <w:rPr>
          <w:lang w:val="en-US"/>
        </w:rPr>
        <w:t xml:space="preserve">, </w:t>
      </w:r>
      <w:r w:rsidR="00DD71EC" w:rsidRPr="00A307D1">
        <w:rPr>
          <w:lang w:val="en-US"/>
        </w:rPr>
        <w:t xml:space="preserve">which is </w:t>
      </w:r>
      <w:r w:rsidR="003E7839" w:rsidRPr="00A307D1">
        <w:rPr>
          <w:lang w:val="en-US"/>
        </w:rPr>
        <w:t>based in Ha</w:t>
      </w:r>
      <w:r w:rsidR="00EF449E" w:rsidRPr="00A307D1">
        <w:rPr>
          <w:lang w:val="en-US"/>
        </w:rPr>
        <w:t xml:space="preserve">mburg, Germany, </w:t>
      </w:r>
      <w:r w:rsidR="00DD71EC" w:rsidRPr="00A307D1">
        <w:rPr>
          <w:lang w:val="en-US"/>
        </w:rPr>
        <w:t xml:space="preserve">to help </w:t>
      </w:r>
      <w:r w:rsidR="006C1A84" w:rsidRPr="00A307D1">
        <w:rPr>
          <w:lang w:val="en-US"/>
        </w:rPr>
        <w:t xml:space="preserve">accelerate the decarbonisation of road freight in </w:t>
      </w:r>
      <w:r w:rsidR="006C1A84" w:rsidRPr="002D436F">
        <w:rPr>
          <w:lang w:val="en-US"/>
        </w:rPr>
        <w:t>Europe</w:t>
      </w:r>
      <w:r w:rsidR="006C1A84" w:rsidRPr="00A307D1">
        <w:rPr>
          <w:lang w:val="en-US"/>
        </w:rPr>
        <w:t>.</w:t>
      </w:r>
      <w:r w:rsidR="008068EA" w:rsidRPr="00A307D1">
        <w:rPr>
          <w:lang w:val="en-US"/>
        </w:rPr>
        <w:t xml:space="preserve"> </w:t>
      </w:r>
    </w:p>
    <w:p w14:paraId="32AB8853" w14:textId="34EFFCA5" w:rsidR="00CD4CE1" w:rsidRPr="00A307D1" w:rsidRDefault="006C1A84" w:rsidP="00CD4CE1">
      <w:pPr>
        <w:rPr>
          <w:lang w:val="en-US"/>
        </w:rPr>
      </w:pPr>
      <w:r w:rsidRPr="002D436F">
        <w:rPr>
          <w:lang w:val="en-US"/>
        </w:rPr>
        <w:t>Oilinvest subsidiar</w:t>
      </w:r>
      <w:r w:rsidR="00A56F4A" w:rsidRPr="002D436F">
        <w:rPr>
          <w:lang w:val="en-US"/>
        </w:rPr>
        <w:t>ies</w:t>
      </w:r>
      <w:r w:rsidRPr="002D436F">
        <w:rPr>
          <w:lang w:val="en-US"/>
        </w:rPr>
        <w:t xml:space="preserve"> operate around 2,450 filling stations</w:t>
      </w:r>
      <w:r w:rsidR="00A56F4A" w:rsidRPr="002D436F">
        <w:rPr>
          <w:lang w:val="en-US"/>
        </w:rPr>
        <w:t xml:space="preserve"> under the Tamoil brand</w:t>
      </w:r>
      <w:r w:rsidR="00A56F4A" w:rsidRPr="00A307D1">
        <w:rPr>
          <w:lang w:val="en-US"/>
        </w:rPr>
        <w:t xml:space="preserve"> </w:t>
      </w:r>
      <w:r w:rsidRPr="00A307D1">
        <w:rPr>
          <w:lang w:val="en-US"/>
        </w:rPr>
        <w:t>in Europe including Italy,</w:t>
      </w:r>
      <w:r w:rsidR="005912DB" w:rsidRPr="00A307D1">
        <w:rPr>
          <w:lang w:val="en-US"/>
        </w:rPr>
        <w:t xml:space="preserve"> the Netherlands</w:t>
      </w:r>
      <w:r w:rsidR="00165ADC">
        <w:rPr>
          <w:lang w:val="en-US"/>
        </w:rPr>
        <w:t>,</w:t>
      </w:r>
      <w:r w:rsidRPr="00A307D1">
        <w:rPr>
          <w:lang w:val="en-US"/>
        </w:rPr>
        <w:t xml:space="preserve"> Spain, Switzerland</w:t>
      </w:r>
      <w:r w:rsidR="00CD3E89" w:rsidRPr="00A307D1">
        <w:rPr>
          <w:lang w:val="en-US"/>
        </w:rPr>
        <w:t>,</w:t>
      </w:r>
      <w:r w:rsidRPr="00A307D1">
        <w:rPr>
          <w:lang w:val="en-US"/>
        </w:rPr>
        <w:t xml:space="preserve"> </w:t>
      </w:r>
      <w:r w:rsidRPr="002D436F">
        <w:rPr>
          <w:lang w:val="en-US"/>
        </w:rPr>
        <w:t xml:space="preserve">and </w:t>
      </w:r>
      <w:r w:rsidR="00CD3E89" w:rsidRPr="002D436F">
        <w:rPr>
          <w:lang w:val="en-US"/>
        </w:rPr>
        <w:t xml:space="preserve">the </w:t>
      </w:r>
      <w:r w:rsidR="008564D3" w:rsidRPr="002D436F">
        <w:rPr>
          <w:lang w:val="en-US"/>
        </w:rPr>
        <w:t xml:space="preserve">HEM brand </w:t>
      </w:r>
      <w:r w:rsidR="00A56F4A" w:rsidRPr="002D436F">
        <w:rPr>
          <w:lang w:val="en-US"/>
        </w:rPr>
        <w:t>in</w:t>
      </w:r>
      <w:r w:rsidR="00A307D1">
        <w:rPr>
          <w:lang w:val="en-US"/>
        </w:rPr>
        <w:t xml:space="preserve"> filling stations in Germany</w:t>
      </w:r>
      <w:r w:rsidRPr="00A307D1">
        <w:rPr>
          <w:lang w:val="en-US"/>
        </w:rPr>
        <w:t xml:space="preserve">. </w:t>
      </w:r>
      <w:r w:rsidR="0009370F" w:rsidRPr="002D436F">
        <w:rPr>
          <w:lang w:val="en-US"/>
        </w:rPr>
        <w:t xml:space="preserve">Together with third party and </w:t>
      </w:r>
      <w:r w:rsidR="00CD3E89" w:rsidRPr="002D436F">
        <w:rPr>
          <w:lang w:val="en-US"/>
        </w:rPr>
        <w:t xml:space="preserve">newly established (greenfield) </w:t>
      </w:r>
      <w:r w:rsidR="0009370F" w:rsidRPr="002D436F">
        <w:rPr>
          <w:lang w:val="en-US"/>
        </w:rPr>
        <w:t>locations</w:t>
      </w:r>
      <w:r w:rsidR="0009370F" w:rsidRPr="00A307D1">
        <w:rPr>
          <w:lang w:val="en-US"/>
        </w:rPr>
        <w:t>, t</w:t>
      </w:r>
      <w:r w:rsidR="001579F1" w:rsidRPr="00A307D1">
        <w:rPr>
          <w:lang w:val="en-US"/>
        </w:rPr>
        <w:t>his extensive network provide</w:t>
      </w:r>
      <w:r w:rsidR="00A56F4A" w:rsidRPr="00A307D1">
        <w:rPr>
          <w:lang w:val="en-US"/>
        </w:rPr>
        <w:t>s</w:t>
      </w:r>
      <w:r w:rsidR="001579F1" w:rsidRPr="00A307D1">
        <w:rPr>
          <w:lang w:val="en-US"/>
        </w:rPr>
        <w:t xml:space="preserve"> a foundation for the proliferation of zero-emission fuel cell electric vehicles</w:t>
      </w:r>
      <w:r w:rsidR="0009370F" w:rsidRPr="00A307D1">
        <w:rPr>
          <w:lang w:val="en-US"/>
        </w:rPr>
        <w:t xml:space="preserve">. </w:t>
      </w:r>
      <w:r w:rsidR="0009370F" w:rsidRPr="002D436F">
        <w:rPr>
          <w:lang w:val="en-US"/>
        </w:rPr>
        <w:t xml:space="preserve">Starting in Germany, </w:t>
      </w:r>
      <w:r w:rsidR="00A56F4A" w:rsidRPr="002D436F">
        <w:rPr>
          <w:lang w:val="en-US"/>
        </w:rPr>
        <w:t xml:space="preserve">HEMTRON </w:t>
      </w:r>
      <w:r w:rsidR="0009370F" w:rsidRPr="002D436F">
        <w:rPr>
          <w:lang w:val="en-US"/>
        </w:rPr>
        <w:t xml:space="preserve">is </w:t>
      </w:r>
      <w:r w:rsidR="00CD3E89" w:rsidRPr="002D436F">
        <w:rPr>
          <w:lang w:val="en-US"/>
        </w:rPr>
        <w:t xml:space="preserve">tasked </w:t>
      </w:r>
      <w:r w:rsidR="0009370F" w:rsidRPr="002D436F">
        <w:rPr>
          <w:lang w:val="en-US"/>
        </w:rPr>
        <w:t xml:space="preserve">to secure consistent growth and supply of hydrogen </w:t>
      </w:r>
      <w:r w:rsidRPr="002D436F">
        <w:rPr>
          <w:lang w:val="en-US"/>
        </w:rPr>
        <w:t xml:space="preserve">refueling stations </w:t>
      </w:r>
      <w:r w:rsidR="0009370F" w:rsidRPr="002D436F">
        <w:rPr>
          <w:lang w:val="en-US"/>
        </w:rPr>
        <w:t>at customer-oriented locations near transportation hubs such as logistics centers and highways</w:t>
      </w:r>
      <w:r w:rsidR="0009370F" w:rsidRPr="00A307D1">
        <w:rPr>
          <w:lang w:val="en-US"/>
        </w:rPr>
        <w:t>.</w:t>
      </w:r>
    </w:p>
    <w:p w14:paraId="7999A34D" w14:textId="1E5A718E" w:rsidR="00A225D1" w:rsidRPr="002D436F" w:rsidRDefault="0020391A" w:rsidP="002D436F">
      <w:pPr>
        <w:spacing w:before="340" w:after="340"/>
        <w:jc w:val="both"/>
        <w:rPr>
          <w:rFonts w:ascii="Gadugi" w:hAnsi="Gadugi" w:cstheme="minorHAnsi"/>
          <w:sz w:val="24"/>
          <w:szCs w:val="24"/>
          <w:lang w:val="en-GB"/>
        </w:rPr>
      </w:pPr>
      <w:r>
        <w:rPr>
          <w:lang w:val="en-US"/>
        </w:rPr>
        <w:t>“</w:t>
      </w:r>
      <w:r w:rsidR="006C1A84" w:rsidRPr="00A307D1">
        <w:rPr>
          <w:lang w:val="en-US"/>
        </w:rPr>
        <w:t xml:space="preserve">Through this strategic partnership with QUANTRON, we aim to offer our customers a commercially viable solution </w:t>
      </w:r>
      <w:r w:rsidR="008564D3" w:rsidRPr="002D436F">
        <w:rPr>
          <w:lang w:val="en-US"/>
        </w:rPr>
        <w:t>and reduce carbon emissions with</w:t>
      </w:r>
      <w:r w:rsidR="006C1A84" w:rsidRPr="002D436F">
        <w:rPr>
          <w:lang w:val="en-US"/>
        </w:rPr>
        <w:t xml:space="preserve"> green hydrogen as an alternative to diesel </w:t>
      </w:r>
      <w:r w:rsidR="008564D3" w:rsidRPr="002D436F">
        <w:rPr>
          <w:lang w:val="en-US"/>
        </w:rPr>
        <w:t>for commercial road transport</w:t>
      </w:r>
      <w:r>
        <w:rPr>
          <w:lang w:val="en-US"/>
        </w:rPr>
        <w:t>”</w:t>
      </w:r>
      <w:r w:rsidR="006C1A84" w:rsidRPr="00A307D1">
        <w:rPr>
          <w:lang w:val="en-US"/>
        </w:rPr>
        <w:t xml:space="preserve">, said </w:t>
      </w:r>
      <w:r w:rsidR="00814A6D" w:rsidRPr="00814A6D">
        <w:rPr>
          <w:lang w:val="en-US"/>
        </w:rPr>
        <w:t>Ahmed</w:t>
      </w:r>
      <w:r w:rsidR="00814A6D">
        <w:rPr>
          <w:lang w:val="en-US"/>
        </w:rPr>
        <w:t xml:space="preserve"> </w:t>
      </w:r>
      <w:r w:rsidR="006C1A84" w:rsidRPr="00814A6D">
        <w:rPr>
          <w:lang w:val="en-US"/>
        </w:rPr>
        <w:t>El</w:t>
      </w:r>
      <w:r w:rsidR="00090E68" w:rsidRPr="00814A6D">
        <w:rPr>
          <w:lang w:val="en-US"/>
        </w:rPr>
        <w:t>k</w:t>
      </w:r>
      <w:r w:rsidR="006C1A84" w:rsidRPr="00814A6D">
        <w:rPr>
          <w:lang w:val="en-US"/>
        </w:rPr>
        <w:t>errami,</w:t>
      </w:r>
      <w:r w:rsidR="006C1A84" w:rsidRPr="00A307D1">
        <w:rPr>
          <w:lang w:val="en-US"/>
        </w:rPr>
        <w:t xml:space="preserve"> Chief Executive Officer of Oilinvest Group. </w:t>
      </w:r>
      <w:r w:rsidR="00CD3E89" w:rsidRPr="00A307D1">
        <w:rPr>
          <w:lang w:val="en-US"/>
        </w:rPr>
        <w:t xml:space="preserve">He added, </w:t>
      </w:r>
      <w:r>
        <w:rPr>
          <w:lang w:val="en-US"/>
        </w:rPr>
        <w:t>“</w:t>
      </w:r>
      <w:r w:rsidR="00CD3E89" w:rsidRPr="00A307D1">
        <w:rPr>
          <w:lang w:val="en-US"/>
        </w:rPr>
        <w:t>We aim to aggregate our initiatives that secure an increase in non-fossil fuels projects.  This partnership will support our strategy to become a net-zero company by 2050 and we look forward to include more partners to join this Hydrogen Fuelling Alliance”.</w:t>
      </w:r>
    </w:p>
    <w:p w14:paraId="161AC84C" w14:textId="3056A112" w:rsidR="00BE5BBB" w:rsidRPr="00A307D1" w:rsidRDefault="006C1A84" w:rsidP="00BE5BBB">
      <w:pPr>
        <w:rPr>
          <w:lang w:val="en-US"/>
        </w:rPr>
      </w:pPr>
      <w:r w:rsidRPr="00A307D1">
        <w:rPr>
          <w:lang w:val="en-US"/>
        </w:rPr>
        <w:t xml:space="preserve">Michael Perschke, CEO of Quantron AG on QUANTRON's Hydrogen Offensive said, “Green hydrogen will be a key energy carrier of the future to accelerate the decarbonization especially in heavy duty trucking. With the help of </w:t>
      </w:r>
      <w:r w:rsidR="000F4996">
        <w:rPr>
          <w:lang w:val="en-GB" w:bidi="ar-LY"/>
        </w:rPr>
        <w:t>Oilinvest</w:t>
      </w:r>
      <w:r w:rsidR="000F4996" w:rsidRPr="00A307D1">
        <w:rPr>
          <w:lang w:val="en-US"/>
        </w:rPr>
        <w:t>'s</w:t>
      </w:r>
      <w:r w:rsidRPr="00A307D1">
        <w:rPr>
          <w:lang w:val="en-US"/>
        </w:rPr>
        <w:t xml:space="preserve"> fuel</w:t>
      </w:r>
      <w:r w:rsidR="008564D3" w:rsidRPr="00A307D1">
        <w:rPr>
          <w:lang w:val="en-US"/>
        </w:rPr>
        <w:t xml:space="preserve"> </w:t>
      </w:r>
      <w:r w:rsidR="008564D3" w:rsidRPr="002D436F">
        <w:rPr>
          <w:lang w:val="en-US"/>
        </w:rPr>
        <w:t>retailing</w:t>
      </w:r>
      <w:r w:rsidRPr="00A307D1">
        <w:rPr>
          <w:lang w:val="en-US"/>
        </w:rPr>
        <w:t xml:space="preserve"> expertise and refueling station network, we are creating a foundation for our customers to switch from diesel to zero-emission FCEV vehicles. Due to our current first mover advantage in range and power in the 44t sector as well as our QLI FCEV, which have already started delivering, we now also want to be a first mover in dedicated H2 fueling infrastructure, dedicated to the needs of light as well as heavy duty trucks. HEMTRON is also an integral part of our Quantron-as-a-Service offering. We can envision becoming the IONITY of H2 Fueling with our partners such as Heavy Duty OEMs, </w:t>
      </w:r>
      <w:r w:rsidRPr="00A307D1">
        <w:rPr>
          <w:lang w:val="en-US"/>
        </w:rPr>
        <w:lastRenderedPageBreak/>
        <w:t xml:space="preserve">Hydrogen producers and other stakeholder. Our venture is set-up to be an open platform and we invite other </w:t>
      </w:r>
      <w:r w:rsidR="00F87EA1" w:rsidRPr="00A307D1">
        <w:rPr>
          <w:lang w:val="en-US"/>
        </w:rPr>
        <w:t>t</w:t>
      </w:r>
      <w:r w:rsidRPr="00A307D1">
        <w:rPr>
          <w:lang w:val="en-US"/>
        </w:rPr>
        <w:t>ruck OEMs</w:t>
      </w:r>
      <w:r w:rsidR="00EA0908" w:rsidRPr="00A307D1">
        <w:rPr>
          <w:lang w:val="en-US"/>
        </w:rPr>
        <w:t>,</w:t>
      </w:r>
      <w:r w:rsidRPr="00A307D1">
        <w:rPr>
          <w:lang w:val="en-US"/>
        </w:rPr>
        <w:t xml:space="preserve"> </w:t>
      </w:r>
      <w:r w:rsidR="00EA0908" w:rsidRPr="00A307D1">
        <w:rPr>
          <w:lang w:val="en-US"/>
        </w:rPr>
        <w:t>e</w:t>
      </w:r>
      <w:r w:rsidRPr="00A307D1">
        <w:rPr>
          <w:lang w:val="en-US"/>
        </w:rPr>
        <w:t>nergy companies and also other Oil &amp; HRS network partner to join in an open H2 Roaming Alliance.”</w:t>
      </w:r>
    </w:p>
    <w:p w14:paraId="1C82C0E3" w14:textId="77777777" w:rsidR="00A225D1" w:rsidRPr="00A307D1" w:rsidRDefault="006C1A84" w:rsidP="00A225D1">
      <w:pPr>
        <w:rPr>
          <w:lang w:val="en-US"/>
        </w:rPr>
      </w:pPr>
      <w:r w:rsidRPr="00A307D1">
        <w:rPr>
          <w:lang w:val="en-US"/>
        </w:rPr>
        <w:t xml:space="preserve">Andreas Haller, founder and Executive Chairman of Quantron AG, said, </w:t>
      </w:r>
      <w:r w:rsidR="00701477" w:rsidRPr="00A307D1">
        <w:rPr>
          <w:lang w:val="en-US"/>
        </w:rPr>
        <w:t>“</w:t>
      </w:r>
      <w:r w:rsidRPr="00A307D1">
        <w:rPr>
          <w:lang w:val="en-US"/>
        </w:rPr>
        <w:t>We want to make a breakthrough in hydrogen as an energy carrier for heavy-duty transport. That's why we want to actively engage partners – be it other oil and energy companies, technology partners or even other fuel cell truck manufacturers – we need critical mass and this joint venture is a milestone.</w:t>
      </w:r>
      <w:r w:rsidR="00701477" w:rsidRPr="00A307D1">
        <w:rPr>
          <w:lang w:val="en-US"/>
        </w:rPr>
        <w:t>”</w:t>
      </w:r>
    </w:p>
    <w:p w14:paraId="5F2E7D8F" w14:textId="3C25F2B1" w:rsidR="00E35B4F" w:rsidRPr="00A307D1" w:rsidRDefault="006C1A84" w:rsidP="00A225D1">
      <w:pPr>
        <w:rPr>
          <w:lang w:val="en-US"/>
        </w:rPr>
      </w:pPr>
      <w:r w:rsidRPr="00A307D1">
        <w:rPr>
          <w:lang w:val="en-US"/>
        </w:rPr>
        <w:t xml:space="preserve">Both QUANTRON and </w:t>
      </w:r>
      <w:r w:rsidR="00CD3E89" w:rsidRPr="00A307D1">
        <w:rPr>
          <w:lang w:val="en-US"/>
        </w:rPr>
        <w:t xml:space="preserve">Oilinvest </w:t>
      </w:r>
      <w:r w:rsidRPr="00A307D1">
        <w:rPr>
          <w:lang w:val="en-US"/>
        </w:rPr>
        <w:t>are founding members of an alliance to expand Europewide hydrogen refueling infrastructure, enabling widespread adoption of environmentally friendly FCEV vehicles.</w:t>
      </w:r>
    </w:p>
    <w:p w14:paraId="604DABE5" w14:textId="77777777" w:rsidR="008B7AF6" w:rsidRPr="00A307D1" w:rsidRDefault="006C1A84" w:rsidP="00CD1E78">
      <w:pPr>
        <w:rPr>
          <w:rFonts w:cs="Arial"/>
          <w:b/>
          <w:bCs/>
          <w:lang w:val="en-US"/>
        </w:rPr>
      </w:pPr>
      <w:r w:rsidRPr="00A307D1">
        <w:rPr>
          <w:rFonts w:cs="Arial"/>
          <w:b/>
          <w:bCs/>
          <w:lang w:val="en-US"/>
        </w:rPr>
        <w:t>Image</w:t>
      </w:r>
      <w:r w:rsidR="00ED4171" w:rsidRPr="00A307D1">
        <w:rPr>
          <w:rFonts w:cs="Arial"/>
          <w:b/>
          <w:bCs/>
          <w:lang w:val="en-US"/>
        </w:rPr>
        <w:t>s</w:t>
      </w:r>
      <w:r w:rsidRPr="00A307D1">
        <w:rPr>
          <w:rFonts w:cs="Arial"/>
          <w:b/>
          <w:bCs/>
          <w:lang w:val="en-US"/>
        </w:rPr>
        <w:t xml:space="preserve"> (Please click on the image preview to download)</w:t>
      </w:r>
      <w:r w:rsidR="00421C03" w:rsidRPr="00A307D1">
        <w:rPr>
          <w:rFonts w:cs="Arial"/>
          <w:b/>
          <w:bCs/>
          <w:lang w:val="en-US"/>
        </w:rPr>
        <w:t xml:space="preserve">: </w:t>
      </w:r>
    </w:p>
    <w:tbl>
      <w:tblPr>
        <w:tblStyle w:val="Tabellenraster"/>
        <w:tblW w:w="9125" w:type="dxa"/>
        <w:tblLook w:val="04A0" w:firstRow="1" w:lastRow="0" w:firstColumn="1" w:lastColumn="0" w:noHBand="0" w:noVBand="1"/>
      </w:tblPr>
      <w:tblGrid>
        <w:gridCol w:w="5058"/>
        <w:gridCol w:w="4067"/>
      </w:tblGrid>
      <w:tr w:rsidR="00D02539" w:rsidRPr="00FB14A3" w14:paraId="2419DA5E" w14:textId="77777777" w:rsidTr="004B3317">
        <w:trPr>
          <w:trHeight w:val="875"/>
        </w:trPr>
        <w:tc>
          <w:tcPr>
            <w:tcW w:w="5058" w:type="dxa"/>
          </w:tcPr>
          <w:p w14:paraId="1EC85A84" w14:textId="6E84FFA6" w:rsidR="00B64882" w:rsidRPr="002D436F" w:rsidRDefault="00CC434B">
            <w:pPr>
              <w:ind w:right="597"/>
              <w:rPr>
                <w:rFonts w:cs="Arial"/>
                <w:bCs/>
              </w:rPr>
            </w:pPr>
            <w:r>
              <w:rPr>
                <w:noProof/>
              </w:rPr>
              <w:drawing>
                <wp:inline distT="0" distB="0" distL="0" distR="0" wp14:anchorId="7F507E42" wp14:editId="28F35C6F">
                  <wp:extent cx="2441051" cy="1628846"/>
                  <wp:effectExtent l="0" t="0" r="0" b="0"/>
                  <wp:docPr id="791736720" name="Grafik 7917367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36720" name="Grafik 7917367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660" cy="1633924"/>
                          </a:xfrm>
                          <a:prstGeom prst="rect">
                            <a:avLst/>
                          </a:prstGeom>
                          <a:noFill/>
                          <a:ln>
                            <a:noFill/>
                          </a:ln>
                        </pic:spPr>
                      </pic:pic>
                    </a:graphicData>
                  </a:graphic>
                </wp:inline>
              </w:drawing>
            </w:r>
          </w:p>
        </w:tc>
        <w:tc>
          <w:tcPr>
            <w:tcW w:w="4067" w:type="dxa"/>
          </w:tcPr>
          <w:p w14:paraId="07454A21" w14:textId="77777777" w:rsidR="00C76E78" w:rsidRPr="00A307D1" w:rsidRDefault="006C1A84" w:rsidP="00214E19">
            <w:pPr>
              <w:spacing w:line="240" w:lineRule="auto"/>
              <w:rPr>
                <w:rFonts w:cs="Arial"/>
                <w:color w:val="222A35"/>
                <w:lang w:val="en-US"/>
              </w:rPr>
            </w:pPr>
            <w:r w:rsidRPr="00A307D1">
              <w:rPr>
                <w:rFonts w:cs="Arial"/>
                <w:color w:val="222A35"/>
                <w:lang w:val="en-US"/>
              </w:rPr>
              <w:t xml:space="preserve">From left: David Pezzulli, </w:t>
            </w:r>
            <w:r w:rsidR="00A6646C" w:rsidRPr="00A307D1">
              <w:rPr>
                <w:rFonts w:cs="Arial"/>
                <w:color w:val="222A35"/>
                <w:lang w:val="en-US"/>
              </w:rPr>
              <w:t>(</w:t>
            </w:r>
            <w:r w:rsidRPr="00A307D1">
              <w:rPr>
                <w:rFonts w:cs="Arial"/>
                <w:color w:val="222A35"/>
                <w:lang w:val="en-US"/>
              </w:rPr>
              <w:t xml:space="preserve">Managing Director </w:t>
            </w:r>
            <w:r w:rsidR="008D2E5C" w:rsidRPr="00A307D1">
              <w:rPr>
                <w:rFonts w:cs="Arial"/>
                <w:color w:val="222A35"/>
                <w:lang w:val="en-US"/>
              </w:rPr>
              <w:t xml:space="preserve">of </w:t>
            </w:r>
            <w:r w:rsidRPr="00A307D1">
              <w:rPr>
                <w:rFonts w:cs="Arial"/>
                <w:color w:val="222A35"/>
                <w:lang w:val="en-US"/>
              </w:rPr>
              <w:t>Mesientos</w:t>
            </w:r>
            <w:r w:rsidR="00CB2B1F" w:rsidRPr="00A307D1">
              <w:rPr>
                <w:rFonts w:cs="Arial"/>
                <w:color w:val="222A35"/>
                <w:lang w:val="en-US"/>
              </w:rPr>
              <w:t>)</w:t>
            </w:r>
            <w:r w:rsidRPr="00A307D1">
              <w:rPr>
                <w:rFonts w:cs="Arial"/>
                <w:color w:val="222A35"/>
                <w:lang w:val="en-US"/>
              </w:rPr>
              <w:t>, Herbert Robel (</w:t>
            </w:r>
            <w:r w:rsidR="00A5489F" w:rsidRPr="00A307D1">
              <w:rPr>
                <w:rFonts w:cs="Arial"/>
                <w:color w:val="222A35"/>
                <w:lang w:val="en-US"/>
              </w:rPr>
              <w:t xml:space="preserve">CHRO &amp; Co-Founder Quantron AG), </w:t>
            </w:r>
            <w:r w:rsidRPr="00A307D1">
              <w:rPr>
                <w:rFonts w:cs="Arial"/>
                <w:color w:val="222A35"/>
                <w:lang w:val="en-US"/>
              </w:rPr>
              <w:t xml:space="preserve">Ahmed Elkerrami </w:t>
            </w:r>
            <w:r w:rsidR="00CB2B1F" w:rsidRPr="00A307D1">
              <w:rPr>
                <w:rFonts w:cs="Arial"/>
                <w:color w:val="222A35"/>
                <w:lang w:val="en-US"/>
              </w:rPr>
              <w:t>(</w:t>
            </w:r>
            <w:r w:rsidR="00E45612" w:rsidRPr="00A307D1">
              <w:rPr>
                <w:rFonts w:cs="Arial"/>
                <w:color w:val="222A35"/>
                <w:lang w:val="en-US"/>
              </w:rPr>
              <w:t xml:space="preserve">CEO </w:t>
            </w:r>
            <w:r w:rsidRPr="00A307D1">
              <w:rPr>
                <w:rFonts w:cs="Arial"/>
                <w:color w:val="222A35"/>
                <w:lang w:val="en-US"/>
              </w:rPr>
              <w:t>Oilinvest Group</w:t>
            </w:r>
            <w:r w:rsidR="00CB2B1F" w:rsidRPr="00A307D1">
              <w:rPr>
                <w:rFonts w:cs="Arial"/>
                <w:color w:val="222A35"/>
                <w:lang w:val="en-US"/>
              </w:rPr>
              <w:t>),</w:t>
            </w:r>
            <w:r w:rsidR="00A5489F" w:rsidRPr="00A307D1">
              <w:rPr>
                <w:rFonts w:cs="Arial"/>
                <w:color w:val="222A35"/>
                <w:lang w:val="en-US"/>
              </w:rPr>
              <w:t xml:space="preserve"> Andreas Haller (Founder &amp; Executive Chairman Quantron AG), Michael Perschke (CEO Quantron AG),</w:t>
            </w:r>
            <w:r w:rsidR="00CB2B1F" w:rsidRPr="00A307D1">
              <w:rPr>
                <w:rFonts w:cs="Arial"/>
                <w:color w:val="222A35"/>
                <w:lang w:val="en-US"/>
              </w:rPr>
              <w:t xml:space="preserve"> </w:t>
            </w:r>
            <w:r w:rsidRPr="00A307D1">
              <w:rPr>
                <w:rFonts w:cs="Arial"/>
                <w:color w:val="222A35"/>
                <w:lang w:val="en-US"/>
              </w:rPr>
              <w:t xml:space="preserve">Timothy Sullivan </w:t>
            </w:r>
            <w:r w:rsidR="009B7683" w:rsidRPr="00A307D1">
              <w:rPr>
                <w:rFonts w:cs="Arial"/>
                <w:color w:val="222A35"/>
                <w:lang w:val="en-US"/>
              </w:rPr>
              <w:t>(</w:t>
            </w:r>
            <w:r w:rsidRPr="00A307D1">
              <w:rPr>
                <w:rFonts w:cs="Arial"/>
                <w:color w:val="222A35"/>
                <w:lang w:val="en-US"/>
              </w:rPr>
              <w:t>Business Liaison Officer at OBV</w:t>
            </w:r>
            <w:r w:rsidR="009B7683" w:rsidRPr="00A307D1">
              <w:rPr>
                <w:rFonts w:cs="Arial"/>
                <w:color w:val="222A35"/>
                <w:lang w:val="en-US"/>
              </w:rPr>
              <w:t>)</w:t>
            </w:r>
            <w:r w:rsidRPr="00A307D1">
              <w:rPr>
                <w:rFonts w:cs="Arial"/>
                <w:color w:val="222A35"/>
                <w:lang w:val="en-US"/>
              </w:rPr>
              <w:t>.</w:t>
            </w:r>
          </w:p>
          <w:p w14:paraId="0839951B" w14:textId="77777777" w:rsidR="00B64882" w:rsidRPr="002D436F" w:rsidRDefault="00B64882">
            <w:pPr>
              <w:ind w:right="597"/>
              <w:rPr>
                <w:rFonts w:cs="Arial"/>
                <w:bCs/>
                <w:lang w:val="en-US"/>
              </w:rPr>
            </w:pPr>
          </w:p>
        </w:tc>
      </w:tr>
      <w:tr w:rsidR="004B3317" w:rsidRPr="00E55F9D" w14:paraId="3FA05229" w14:textId="77777777" w:rsidTr="004B3317">
        <w:trPr>
          <w:trHeight w:val="875"/>
        </w:trPr>
        <w:tc>
          <w:tcPr>
            <w:tcW w:w="5058" w:type="dxa"/>
          </w:tcPr>
          <w:p w14:paraId="3DD1BEA8" w14:textId="69E9E69D" w:rsidR="004B3317" w:rsidRPr="00A307D1" w:rsidRDefault="001E45C8" w:rsidP="004B3317">
            <w:pPr>
              <w:ind w:right="597"/>
              <w:rPr>
                <w:noProof/>
                <w:lang w:eastAsia="de-DE"/>
              </w:rPr>
            </w:pPr>
            <w:r>
              <w:rPr>
                <w:noProof/>
              </w:rPr>
              <w:drawing>
                <wp:inline distT="0" distB="0" distL="0" distR="0" wp14:anchorId="4D410E91" wp14:editId="0BD7FFA8">
                  <wp:extent cx="2440800" cy="2091600"/>
                  <wp:effectExtent l="0" t="0" r="0" b="4445"/>
                  <wp:docPr id="1817556769" name="Grafik 181755676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56769"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0800" cy="2091600"/>
                          </a:xfrm>
                          <a:prstGeom prst="rect">
                            <a:avLst/>
                          </a:prstGeom>
                          <a:noFill/>
                          <a:ln>
                            <a:noFill/>
                          </a:ln>
                        </pic:spPr>
                      </pic:pic>
                    </a:graphicData>
                  </a:graphic>
                </wp:inline>
              </w:drawing>
            </w:r>
          </w:p>
        </w:tc>
        <w:tc>
          <w:tcPr>
            <w:tcW w:w="4067" w:type="dxa"/>
          </w:tcPr>
          <w:p w14:paraId="328BFE1C" w14:textId="5F4B1015" w:rsidR="004B3317" w:rsidRPr="00A307D1" w:rsidRDefault="004B3317" w:rsidP="004B3317">
            <w:pPr>
              <w:spacing w:line="240" w:lineRule="auto"/>
              <w:rPr>
                <w:rFonts w:cs="Arial"/>
                <w:color w:val="222A35"/>
                <w:lang w:val="en-US"/>
              </w:rPr>
            </w:pPr>
            <w:r>
              <w:rPr>
                <w:rFonts w:cs="Arial"/>
                <w:color w:val="222A35"/>
                <w:lang w:val="en-US"/>
              </w:rPr>
              <w:t xml:space="preserve">HEMTRON </w:t>
            </w:r>
            <w:r w:rsidR="006460A4">
              <w:rPr>
                <w:rFonts w:cs="Arial"/>
                <w:color w:val="222A35"/>
                <w:lang w:val="en-US"/>
              </w:rPr>
              <w:t>l</w:t>
            </w:r>
            <w:r>
              <w:rPr>
                <w:rFonts w:cs="Arial"/>
                <w:color w:val="222A35"/>
                <w:lang w:val="en-US"/>
              </w:rPr>
              <w:t>ogo</w:t>
            </w:r>
          </w:p>
        </w:tc>
      </w:tr>
      <w:tr w:rsidR="00851E8A" w:rsidRPr="00FB14A3" w14:paraId="7F2EE861" w14:textId="77777777" w:rsidTr="004B3317">
        <w:trPr>
          <w:trHeight w:val="875"/>
        </w:trPr>
        <w:tc>
          <w:tcPr>
            <w:tcW w:w="5058" w:type="dxa"/>
          </w:tcPr>
          <w:p w14:paraId="5B538BE1" w14:textId="6FE33897" w:rsidR="00851E8A" w:rsidRDefault="00C2066C" w:rsidP="00851E8A">
            <w:pPr>
              <w:ind w:right="597"/>
              <w:rPr>
                <w:rFonts w:cs="Arial"/>
                <w:noProof/>
                <w:color w:val="222A35"/>
              </w:rPr>
            </w:pPr>
            <w:r>
              <w:rPr>
                <w:noProof/>
              </w:rPr>
              <w:lastRenderedPageBreak/>
              <w:drawing>
                <wp:inline distT="0" distB="0" distL="0" distR="0" wp14:anchorId="7AFEEA12" wp14:editId="5EC6CDF4">
                  <wp:extent cx="2440800" cy="1623600"/>
                  <wp:effectExtent l="0" t="0" r="0" b="0"/>
                  <wp:docPr id="2090728247" name="Grafik 209072824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28247" name="Grafik 209072824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0800" cy="1623600"/>
                          </a:xfrm>
                          <a:prstGeom prst="rect">
                            <a:avLst/>
                          </a:prstGeom>
                          <a:noFill/>
                          <a:ln>
                            <a:noFill/>
                          </a:ln>
                        </pic:spPr>
                      </pic:pic>
                    </a:graphicData>
                  </a:graphic>
                </wp:inline>
              </w:drawing>
            </w:r>
          </w:p>
        </w:tc>
        <w:tc>
          <w:tcPr>
            <w:tcW w:w="4067" w:type="dxa"/>
          </w:tcPr>
          <w:p w14:paraId="2F2A2735" w14:textId="24DAE8E3" w:rsidR="00851E8A" w:rsidRDefault="00851E8A" w:rsidP="00851E8A">
            <w:pPr>
              <w:spacing w:line="240" w:lineRule="auto"/>
              <w:rPr>
                <w:rFonts w:cs="Arial"/>
                <w:color w:val="222A35"/>
                <w:lang w:val="en-US"/>
              </w:rPr>
            </w:pPr>
            <w:r>
              <w:rPr>
                <w:rFonts w:cs="Arial"/>
                <w:color w:val="222A35"/>
                <w:lang w:val="en-US"/>
              </w:rPr>
              <w:t>Hydrogen-electric QUANTRON QHM FCEV AERO</w:t>
            </w:r>
          </w:p>
        </w:tc>
      </w:tr>
    </w:tbl>
    <w:p w14:paraId="2D50651A" w14:textId="77777777" w:rsidR="00851E8A" w:rsidRDefault="00851E8A" w:rsidP="00B64882">
      <w:pPr>
        <w:ind w:right="597"/>
        <w:rPr>
          <w:rFonts w:cs="Arial"/>
          <w:lang w:val="en-US"/>
        </w:rPr>
      </w:pPr>
    </w:p>
    <w:p w14:paraId="0EDB0C69" w14:textId="6F9E7737" w:rsidR="00D1005C" w:rsidRPr="00A307D1" w:rsidRDefault="006C1A84" w:rsidP="00B64882">
      <w:pPr>
        <w:ind w:right="597"/>
        <w:rPr>
          <w:rFonts w:cs="Arial"/>
          <w:b/>
          <w:lang w:val="en-US"/>
        </w:rPr>
      </w:pPr>
      <w:r w:rsidRPr="00A307D1">
        <w:rPr>
          <w:rFonts w:cs="Arial"/>
          <w:lang w:val="en-US"/>
        </w:rPr>
        <w:t xml:space="preserve">You can find the original </w:t>
      </w:r>
      <w:r w:rsidR="00BF6D6D" w:rsidRPr="00A307D1">
        <w:rPr>
          <w:rFonts w:cs="Arial"/>
          <w:lang w:val="en-US"/>
        </w:rPr>
        <w:t>images</w:t>
      </w:r>
      <w:r w:rsidRPr="00A307D1">
        <w:rPr>
          <w:rFonts w:cs="Arial"/>
          <w:lang w:val="en-US"/>
        </w:rPr>
        <w:t xml:space="preserve"> in high </w:t>
      </w:r>
      <w:r w:rsidR="002E4648" w:rsidRPr="00A307D1">
        <w:rPr>
          <w:rFonts w:cs="Arial"/>
          <w:lang w:val="en-US"/>
        </w:rPr>
        <w:t xml:space="preserve">and low </w:t>
      </w:r>
      <w:r w:rsidRPr="00A307D1">
        <w:rPr>
          <w:rFonts w:cs="Arial"/>
          <w:lang w:val="en-US"/>
        </w:rPr>
        <w:t xml:space="preserve">resolution here: </w:t>
      </w:r>
      <w:hyperlink r:id="rId19" w:history="1">
        <w:r w:rsidR="00DC2731" w:rsidRPr="00A307D1">
          <w:rPr>
            <w:rStyle w:val="Hyperlink"/>
            <w:rFonts w:cs="Arial"/>
            <w:lang w:val="en-US"/>
          </w:rPr>
          <w:t>Press releases from Quantron AG</w:t>
        </w:r>
      </w:hyperlink>
      <w:r w:rsidR="009A4F65" w:rsidRPr="00A307D1">
        <w:rPr>
          <w:rFonts w:cs="Arial"/>
          <w:lang w:val="en-US"/>
        </w:rPr>
        <w:t xml:space="preserve"> (</w:t>
      </w:r>
      <w:r w:rsidR="0072361C" w:rsidRPr="00A307D1">
        <w:rPr>
          <w:rFonts w:cs="Arial"/>
          <w:lang w:val="en-US"/>
        </w:rPr>
        <w:t>https://www.quantron.net/en/q-news/press-releases/</w:t>
      </w:r>
      <w:r w:rsidR="009A4F65" w:rsidRPr="00A307D1">
        <w:rPr>
          <w:rFonts w:cs="Arial"/>
          <w:lang w:val="en-US"/>
        </w:rPr>
        <w:t>)</w:t>
      </w:r>
      <w:r w:rsidR="00F63FEA" w:rsidRPr="00A307D1">
        <w:rPr>
          <w:rFonts w:cs="Arial"/>
          <w:lang w:val="en-US"/>
        </w:rPr>
        <w:t xml:space="preserve"> </w:t>
      </w:r>
    </w:p>
    <w:p w14:paraId="0477DDD5" w14:textId="53E87CE1" w:rsidR="00A225D1" w:rsidRPr="00FB14A3" w:rsidRDefault="00FB023F" w:rsidP="00FB023F">
      <w:pPr>
        <w:ind w:right="597"/>
        <w:rPr>
          <w:rStyle w:val="Fett"/>
          <w:rFonts w:cs="Arial"/>
          <w:b w:val="0"/>
          <w:lang w:val="en-US"/>
        </w:rPr>
      </w:pPr>
      <w:r w:rsidRPr="00FB023F">
        <w:rPr>
          <w:rFonts w:cs="Arial"/>
          <w:bCs/>
          <w:lang w:val="en-US"/>
        </w:rPr>
        <w:t xml:space="preserve">Further information about HEMTRON can be found in this </w:t>
      </w:r>
      <w:hyperlink r:id="rId20" w:history="1">
        <w:r w:rsidRPr="00FB14A3">
          <w:rPr>
            <w:rStyle w:val="Hyperlink"/>
            <w:rFonts w:cs="Arial"/>
            <w:bCs/>
            <w:lang w:val="en-US"/>
          </w:rPr>
          <w:t>video</w:t>
        </w:r>
      </w:hyperlink>
      <w:r w:rsidR="00FB14A3">
        <w:rPr>
          <w:rFonts w:cs="Arial"/>
          <w:bCs/>
          <w:lang w:val="en-US"/>
        </w:rPr>
        <w:t xml:space="preserve"> (</w:t>
      </w:r>
      <w:r w:rsidR="00FB14A3" w:rsidRPr="00FB14A3">
        <w:rPr>
          <w:rStyle w:val="ui-provider"/>
          <w:lang w:val="en-US"/>
        </w:rPr>
        <w:t>https://youtu.be/FkBQdtN1Js8</w:t>
      </w:r>
      <w:r w:rsidR="00FB14A3" w:rsidRPr="00FB14A3">
        <w:rPr>
          <w:rStyle w:val="ui-provider"/>
          <w:lang w:val="en-US"/>
        </w:rPr>
        <w:t>)</w:t>
      </w:r>
      <w:r w:rsidR="00FB14A3">
        <w:rPr>
          <w:rStyle w:val="ui-provider"/>
          <w:lang w:val="en-US"/>
        </w:rPr>
        <w:t>.</w:t>
      </w:r>
    </w:p>
    <w:p w14:paraId="0585E503" w14:textId="77777777" w:rsidR="002E02F7" w:rsidRPr="00A307D1" w:rsidRDefault="006C1A84" w:rsidP="00A225D1">
      <w:pPr>
        <w:pStyle w:val="StandardWeb"/>
        <w:spacing w:before="0" w:beforeAutospacing="0" w:after="200" w:afterAutospacing="0"/>
        <w:rPr>
          <w:rFonts w:ascii="Arial" w:hAnsi="Arial" w:cs="Arial"/>
          <w:sz w:val="20"/>
          <w:szCs w:val="20"/>
          <w:lang w:val="en-US"/>
        </w:rPr>
      </w:pPr>
      <w:r w:rsidRPr="00A307D1">
        <w:rPr>
          <w:rStyle w:val="Fett"/>
          <w:rFonts w:ascii="Arial" w:hAnsi="Arial" w:cs="Arial"/>
          <w:sz w:val="20"/>
          <w:szCs w:val="20"/>
          <w:lang w:val="en-US"/>
        </w:rPr>
        <w:t>About Quantron AG</w:t>
      </w:r>
    </w:p>
    <w:p w14:paraId="7CAF5324" w14:textId="77777777" w:rsidR="002E02F7" w:rsidRPr="00A307D1" w:rsidRDefault="006C1A84" w:rsidP="00A225D1">
      <w:pPr>
        <w:pStyle w:val="StandardWeb"/>
        <w:spacing w:before="0" w:beforeAutospacing="0" w:after="200" w:afterAutospacing="0"/>
        <w:rPr>
          <w:rFonts w:ascii="Arial" w:hAnsi="Arial" w:cs="Arial"/>
          <w:i/>
          <w:iCs/>
          <w:sz w:val="20"/>
          <w:szCs w:val="20"/>
          <w:lang w:val="en-US"/>
        </w:rPr>
      </w:pPr>
      <w:r w:rsidRPr="00A307D1">
        <w:rPr>
          <w:rStyle w:val="Fett"/>
          <w:rFonts w:ascii="Arial" w:hAnsi="Arial" w:cs="Arial"/>
          <w:i/>
          <w:iCs/>
          <w:sz w:val="20"/>
          <w:szCs w:val="20"/>
          <w:lang w:val="en-US"/>
        </w:rPr>
        <w:t>Quantron AG is a platform provider and specialist for sustainable mobility</w:t>
      </w:r>
      <w:r w:rsidRPr="00A307D1">
        <w:rPr>
          <w:rStyle w:val="Hervorhebung"/>
          <w:rFonts w:ascii="Arial" w:hAnsi="Arial" w:cs="Arial"/>
          <w:sz w:val="20"/>
          <w:szCs w:val="20"/>
          <w:lang w:val="en-US"/>
        </w:rPr>
        <w:t xml:space="preserve"> for people and goods; in particular for trucks, buses and vans with fully electric powertrains and H</w:t>
      </w:r>
      <w:r w:rsidRPr="00A307D1">
        <w:rPr>
          <w:rStyle w:val="Hervorhebung"/>
          <w:rFonts w:ascii="Arial" w:hAnsi="Arial" w:cs="Arial"/>
          <w:sz w:val="20"/>
          <w:szCs w:val="20"/>
          <w:vertAlign w:val="subscript"/>
          <w:lang w:val="en-US"/>
        </w:rPr>
        <w:t>2</w:t>
      </w:r>
      <w:r w:rsidRPr="00A307D1">
        <w:rPr>
          <w:rStyle w:val="Hervorhebung"/>
          <w:rFonts w:ascii="Arial" w:hAnsi="Arial" w:cs="Arial"/>
          <w:sz w:val="20"/>
          <w:szCs w:val="20"/>
          <w:lang w:val="en-US"/>
        </w:rPr>
        <w:t xml:space="preserve"> fuel cell technology. As a high-tech spinoff of the renowned Haller </w:t>
      </w:r>
      <w:r w:rsidR="007E4A51" w:rsidRPr="00A307D1">
        <w:rPr>
          <w:rStyle w:val="Hervorhebung"/>
          <w:rFonts w:ascii="Arial" w:hAnsi="Arial" w:cs="Arial"/>
          <w:sz w:val="20"/>
          <w:szCs w:val="20"/>
          <w:lang w:val="en-US"/>
        </w:rPr>
        <w:t>GmbH</w:t>
      </w:r>
      <w:r w:rsidRPr="00A307D1">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6D158EFA" w14:textId="77777777" w:rsidR="002E02F7" w:rsidRPr="00A307D1" w:rsidRDefault="006C1A84" w:rsidP="00A225D1">
      <w:pPr>
        <w:pStyle w:val="StandardWeb"/>
        <w:spacing w:before="0" w:beforeAutospacing="0" w:after="200" w:afterAutospacing="0"/>
        <w:rPr>
          <w:rFonts w:ascii="Arial" w:hAnsi="Arial" w:cs="Arial"/>
          <w:i/>
          <w:iCs/>
          <w:sz w:val="20"/>
          <w:szCs w:val="20"/>
          <w:lang w:val="en-US"/>
        </w:rPr>
      </w:pPr>
      <w:r w:rsidRPr="00A307D1">
        <w:rPr>
          <w:rStyle w:val="Hervorhebung"/>
          <w:rFonts w:ascii="Arial" w:hAnsi="Arial" w:cs="Arial"/>
          <w:sz w:val="20"/>
          <w:szCs w:val="20"/>
          <w:lang w:val="en-US"/>
        </w:rPr>
        <w:t xml:space="preserve">With the </w:t>
      </w:r>
      <w:r w:rsidRPr="00A307D1">
        <w:rPr>
          <w:rStyle w:val="Fett"/>
          <w:rFonts w:ascii="Arial" w:hAnsi="Arial" w:cs="Arial"/>
          <w:i/>
          <w:iCs/>
          <w:sz w:val="20"/>
          <w:szCs w:val="20"/>
          <w:lang w:val="en-US"/>
        </w:rPr>
        <w:t>Quantron-as-a-Service Ecosystem</w:t>
      </w:r>
      <w:r w:rsidRPr="00A307D1">
        <w:rPr>
          <w:rStyle w:val="Hervorhebung"/>
          <w:rFonts w:ascii="Arial" w:hAnsi="Arial" w:cs="Arial"/>
          <w:sz w:val="20"/>
          <w:szCs w:val="20"/>
          <w:lang w:val="en-US"/>
        </w:rPr>
        <w:t xml:space="preserve"> (QaaS), QUANTRON offers an overall concept that covers all facets of the mobility value chain: </w:t>
      </w:r>
      <w:r w:rsidRPr="00A307D1">
        <w:rPr>
          <w:rStyle w:val="Fett"/>
          <w:rFonts w:ascii="Arial" w:hAnsi="Arial" w:cs="Arial"/>
          <w:i/>
          <w:iCs/>
          <w:sz w:val="20"/>
          <w:szCs w:val="20"/>
          <w:lang w:val="en-US"/>
        </w:rPr>
        <w:t>QUANTRON INSIDE</w:t>
      </w:r>
      <w:r w:rsidRPr="00A307D1">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A307D1">
        <w:rPr>
          <w:rStyle w:val="Fett"/>
          <w:rFonts w:ascii="Arial" w:hAnsi="Arial" w:cs="Arial"/>
          <w:i/>
          <w:iCs/>
          <w:sz w:val="20"/>
          <w:szCs w:val="20"/>
          <w:lang w:val="en-US"/>
        </w:rPr>
        <w:t xml:space="preserve">QUANTRON CUSTOMER </w:t>
      </w:r>
      <w:r w:rsidR="00645329" w:rsidRPr="00A307D1">
        <w:rPr>
          <w:rStyle w:val="Fett"/>
          <w:rFonts w:ascii="Arial" w:hAnsi="Arial" w:cs="Arial"/>
          <w:i/>
          <w:iCs/>
          <w:sz w:val="20"/>
          <w:szCs w:val="20"/>
          <w:lang w:val="en-US"/>
        </w:rPr>
        <w:t>SOLUTIONS</w:t>
      </w:r>
      <w:r w:rsidRPr="00A307D1">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A307D1">
        <w:rPr>
          <w:rStyle w:val="Fett"/>
          <w:rFonts w:ascii="Arial" w:hAnsi="Arial" w:cs="Arial"/>
          <w:i/>
          <w:iCs/>
          <w:sz w:val="20"/>
          <w:szCs w:val="20"/>
          <w:lang w:val="en-US"/>
        </w:rPr>
        <w:t>QUANTRON ENERGY</w:t>
      </w:r>
      <w:r w:rsidR="00C55183" w:rsidRPr="00A307D1">
        <w:rPr>
          <w:rStyle w:val="Fett"/>
          <w:rFonts w:ascii="Arial" w:hAnsi="Arial" w:cs="Arial"/>
          <w:i/>
          <w:iCs/>
          <w:sz w:val="20"/>
          <w:szCs w:val="20"/>
          <w:lang w:val="en-US"/>
        </w:rPr>
        <w:t xml:space="preserve"> &amp; POWER STATION</w:t>
      </w:r>
      <w:r w:rsidRPr="00A307D1">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A307D1">
        <w:rPr>
          <w:rStyle w:val="Hervorhebung"/>
          <w:rFonts w:ascii="Arial" w:hAnsi="Arial" w:cs="Arial"/>
          <w:sz w:val="20"/>
          <w:szCs w:val="20"/>
          <w:lang w:val="en-US"/>
        </w:rPr>
        <w:t xml:space="preserve">Clean Transportation </w:t>
      </w:r>
      <w:r w:rsidRPr="00A307D1">
        <w:rPr>
          <w:rStyle w:val="Hervorhebung"/>
          <w:rFonts w:ascii="Arial" w:hAnsi="Arial" w:cs="Arial"/>
          <w:sz w:val="20"/>
          <w:szCs w:val="20"/>
          <w:lang w:val="en-US"/>
        </w:rPr>
        <w:t>Alliance also forms an important building block for the supply of vehicles with the necessary green charging and H</w:t>
      </w:r>
      <w:r w:rsidRPr="00A307D1">
        <w:rPr>
          <w:rStyle w:val="Hervorhebung"/>
          <w:rFonts w:ascii="Arial" w:hAnsi="Arial" w:cs="Arial"/>
          <w:sz w:val="20"/>
          <w:szCs w:val="20"/>
          <w:vertAlign w:val="subscript"/>
          <w:lang w:val="en-US"/>
        </w:rPr>
        <w:t>2</w:t>
      </w:r>
      <w:r w:rsidRPr="00A307D1">
        <w:rPr>
          <w:rStyle w:val="Hervorhebung"/>
          <w:rFonts w:ascii="Arial" w:hAnsi="Arial" w:cs="Arial"/>
          <w:sz w:val="20"/>
          <w:szCs w:val="20"/>
          <w:lang w:val="en-US"/>
        </w:rPr>
        <w:t xml:space="preserve"> refueling infrastructure. </w:t>
      </w:r>
    </w:p>
    <w:p w14:paraId="6F1AF33F" w14:textId="77777777" w:rsidR="002E02F7" w:rsidRPr="00A307D1" w:rsidRDefault="006C1A84" w:rsidP="00A225D1">
      <w:pPr>
        <w:pStyle w:val="StandardWeb"/>
        <w:spacing w:before="0" w:beforeAutospacing="0" w:after="200" w:afterAutospacing="0"/>
        <w:rPr>
          <w:rFonts w:ascii="Arial" w:hAnsi="Arial" w:cs="Arial"/>
          <w:i/>
          <w:iCs/>
          <w:sz w:val="20"/>
          <w:szCs w:val="20"/>
          <w:lang w:val="en-US"/>
        </w:rPr>
      </w:pPr>
      <w:r w:rsidRPr="00A307D1">
        <w:rPr>
          <w:rStyle w:val="Hervorhebung"/>
          <w:rFonts w:ascii="Arial" w:hAnsi="Arial" w:cs="Arial"/>
          <w:sz w:val="20"/>
          <w:szCs w:val="20"/>
          <w:lang w:val="en-US"/>
        </w:rPr>
        <w:t xml:space="preserve"> QUANTRON stands for the core values </w:t>
      </w:r>
      <w:r w:rsidRPr="00A307D1">
        <w:rPr>
          <w:rStyle w:val="Fett"/>
          <w:rFonts w:ascii="Arial" w:hAnsi="Arial" w:cs="Arial"/>
          <w:i/>
          <w:iCs/>
          <w:sz w:val="20"/>
          <w:szCs w:val="20"/>
          <w:lang w:val="en-US"/>
        </w:rPr>
        <w:t>Reliable, Energetic, Brave</w:t>
      </w:r>
      <w:r w:rsidRPr="00A307D1">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1" w:history="1">
        <w:r w:rsidRPr="00A307D1">
          <w:rPr>
            <w:rStyle w:val="Hyperlink"/>
            <w:rFonts w:ascii="Arial" w:hAnsi="Arial" w:cs="Arial"/>
            <w:i/>
            <w:iCs/>
            <w:sz w:val="20"/>
            <w:szCs w:val="20"/>
            <w:lang w:val="en-US"/>
          </w:rPr>
          <w:t>www.quantron.net</w:t>
        </w:r>
      </w:hyperlink>
    </w:p>
    <w:p w14:paraId="77F29D69" w14:textId="77777777" w:rsidR="002E02F7" w:rsidRPr="00A307D1" w:rsidRDefault="006C1A84" w:rsidP="00A225D1">
      <w:pPr>
        <w:pStyle w:val="StandardWeb"/>
        <w:spacing w:before="0" w:beforeAutospacing="0" w:after="200" w:afterAutospacing="0"/>
        <w:rPr>
          <w:rFonts w:ascii="Arial" w:hAnsi="Arial" w:cs="Arial"/>
          <w:sz w:val="20"/>
          <w:szCs w:val="20"/>
          <w:lang w:val="en-US"/>
        </w:rPr>
      </w:pPr>
      <w:r w:rsidRPr="00A307D1">
        <w:rPr>
          <w:rStyle w:val="Hervorhebung"/>
          <w:rFonts w:ascii="Arial" w:hAnsi="Arial" w:cs="Arial"/>
          <w:sz w:val="20"/>
          <w:szCs w:val="20"/>
          <w:lang w:val="en-US"/>
        </w:rPr>
        <w:t>Visit the Quantron AG on its social media channels on</w:t>
      </w:r>
      <w:r w:rsidRPr="00A307D1">
        <w:rPr>
          <w:rFonts w:ascii="Arial" w:hAnsi="Arial" w:cs="Arial"/>
          <w:sz w:val="20"/>
          <w:szCs w:val="20"/>
          <w:lang w:val="en-US"/>
        </w:rPr>
        <w:t xml:space="preserve"> </w:t>
      </w:r>
      <w:hyperlink r:id="rId22" w:history="1">
        <w:r w:rsidRPr="00A307D1">
          <w:rPr>
            <w:rStyle w:val="Hervorhebung"/>
            <w:rFonts w:ascii="Arial" w:hAnsi="Arial" w:cs="Arial"/>
            <w:color w:val="0000FF"/>
            <w:sz w:val="20"/>
            <w:szCs w:val="20"/>
            <w:u w:val="single"/>
            <w:lang w:val="en-US"/>
          </w:rPr>
          <w:t>LinkedIn</w:t>
        </w:r>
      </w:hyperlink>
      <w:r w:rsidRPr="00A307D1">
        <w:rPr>
          <w:rStyle w:val="Hervorhebung"/>
          <w:rFonts w:ascii="Arial" w:hAnsi="Arial" w:cs="Arial"/>
          <w:sz w:val="20"/>
          <w:szCs w:val="20"/>
          <w:lang w:val="en-US"/>
        </w:rPr>
        <w:t xml:space="preserve"> and </w:t>
      </w:r>
      <w:hyperlink r:id="rId23" w:history="1">
        <w:r w:rsidRPr="00A307D1">
          <w:rPr>
            <w:rStyle w:val="Hervorhebung"/>
            <w:rFonts w:ascii="Arial" w:hAnsi="Arial" w:cs="Arial"/>
            <w:color w:val="0000FF"/>
            <w:sz w:val="20"/>
            <w:szCs w:val="20"/>
            <w:u w:val="single"/>
            <w:lang w:val="en-US"/>
          </w:rPr>
          <w:t>YouTube</w:t>
        </w:r>
      </w:hyperlink>
      <w:r w:rsidRPr="00A307D1">
        <w:rPr>
          <w:rStyle w:val="Hervorhebung"/>
          <w:rFonts w:ascii="Arial" w:hAnsi="Arial" w:cs="Arial"/>
          <w:sz w:val="20"/>
          <w:szCs w:val="20"/>
          <w:lang w:val="en-US"/>
        </w:rPr>
        <w:t>.</w:t>
      </w:r>
    </w:p>
    <w:p w14:paraId="318DCA25" w14:textId="77777777" w:rsidR="00A225D1" w:rsidRDefault="00A225D1" w:rsidP="00A225D1">
      <w:pPr>
        <w:spacing w:line="240" w:lineRule="auto"/>
        <w:rPr>
          <w:rStyle w:val="Hyperlink"/>
          <w:rFonts w:cs="Arial"/>
          <w:lang w:val="en-US"/>
        </w:rPr>
      </w:pPr>
    </w:p>
    <w:p w14:paraId="7001D875" w14:textId="77777777" w:rsidR="00E02526" w:rsidRPr="00A307D1" w:rsidRDefault="00E02526" w:rsidP="00A225D1">
      <w:pPr>
        <w:spacing w:line="240" w:lineRule="auto"/>
        <w:rPr>
          <w:rStyle w:val="Hyperlink"/>
          <w:rFonts w:cs="Arial"/>
          <w:lang w:val="en-US"/>
        </w:rPr>
      </w:pPr>
    </w:p>
    <w:p w14:paraId="2790B0CE" w14:textId="77777777" w:rsidR="00A225D1" w:rsidRPr="00A307D1" w:rsidRDefault="006C1A84" w:rsidP="00A225D1">
      <w:pPr>
        <w:pStyle w:val="Default"/>
        <w:spacing w:after="200"/>
        <w:rPr>
          <w:rFonts w:ascii="Arial" w:hAnsi="Arial" w:cs="Arial"/>
          <w:b/>
          <w:bCs/>
          <w:color w:val="404040"/>
          <w:sz w:val="20"/>
          <w:szCs w:val="20"/>
          <w:lang w:val="en-US"/>
        </w:rPr>
      </w:pPr>
      <w:r w:rsidRPr="00A307D1">
        <w:rPr>
          <w:rFonts w:ascii="Arial" w:hAnsi="Arial" w:cs="Arial"/>
          <w:b/>
          <w:bCs/>
          <w:color w:val="404040"/>
          <w:sz w:val="20"/>
          <w:szCs w:val="20"/>
          <w:lang w:val="en-US"/>
        </w:rPr>
        <w:t xml:space="preserve">About Oilinvest </w:t>
      </w:r>
    </w:p>
    <w:p w14:paraId="74DB8D9F" w14:textId="77777777" w:rsidR="00A225D1" w:rsidRPr="00A307D1" w:rsidRDefault="006C1A84" w:rsidP="00A225D1">
      <w:pPr>
        <w:pStyle w:val="Default"/>
        <w:spacing w:after="200"/>
        <w:rPr>
          <w:rFonts w:ascii="Arial" w:hAnsi="Arial" w:cs="Arial"/>
          <w:i/>
          <w:iCs/>
          <w:color w:val="0000FF"/>
          <w:sz w:val="20"/>
          <w:szCs w:val="20"/>
          <w:lang w:val="en-US"/>
        </w:rPr>
      </w:pPr>
      <w:r w:rsidRPr="00A307D1">
        <w:rPr>
          <w:rFonts w:ascii="Arial" w:hAnsi="Arial" w:cs="Arial"/>
          <w:i/>
          <w:iCs/>
          <w:sz w:val="20"/>
          <w:szCs w:val="20"/>
          <w:lang w:val="en-US"/>
        </w:rPr>
        <w:t xml:space="preserve">The Oilinvest Group is a major player in the European downstream oil industry. Playing a vital role at every stage of the value chain, our two main brands Tamoil and HEM employ around 1000 people, sell in excess of 10 million tons of fuel products every year and generate an annual gross turnover of €12.7 billion. Our head office is at The Hague, the Netherlands. For more information visit: </w:t>
      </w:r>
      <w:hyperlink r:id="rId24" w:history="1">
        <w:r w:rsidRPr="00A307D1">
          <w:rPr>
            <w:rStyle w:val="Hyperlink"/>
            <w:rFonts w:ascii="Arial" w:hAnsi="Arial" w:cs="Arial"/>
            <w:i/>
            <w:iCs/>
            <w:sz w:val="20"/>
            <w:szCs w:val="20"/>
            <w:lang w:val="en-US"/>
          </w:rPr>
          <w:t>www.oilinvest.com</w:t>
        </w:r>
      </w:hyperlink>
    </w:p>
    <w:p w14:paraId="25D51535" w14:textId="77777777" w:rsidR="15BB30EC" w:rsidRPr="00A307D1" w:rsidRDefault="15BB30EC" w:rsidP="00A225D1">
      <w:pPr>
        <w:spacing w:line="240" w:lineRule="auto"/>
        <w:rPr>
          <w:rFonts w:eastAsia="Calibri" w:cs="Arial"/>
          <w:lang w:val="en-US"/>
        </w:rPr>
      </w:pPr>
    </w:p>
    <w:p w14:paraId="7A9B6340" w14:textId="77777777" w:rsidR="00F504FB" w:rsidRPr="00A307D1" w:rsidRDefault="006C1A84" w:rsidP="00F504FB">
      <w:pPr>
        <w:pStyle w:val="StandardWeb"/>
        <w:spacing w:before="0" w:beforeAutospacing="0" w:after="200" w:afterAutospacing="0"/>
        <w:rPr>
          <w:rFonts w:ascii="Arial" w:hAnsi="Arial" w:cs="Arial"/>
          <w:lang w:val="en-US"/>
        </w:rPr>
      </w:pPr>
      <w:r w:rsidRPr="00A307D1">
        <w:rPr>
          <w:rStyle w:val="Fett"/>
          <w:rFonts w:ascii="Arial" w:hAnsi="Arial" w:cs="Arial"/>
          <w:lang w:val="en-US"/>
        </w:rPr>
        <w:t xml:space="preserve">Your contact: </w:t>
      </w:r>
    </w:p>
    <w:p w14:paraId="363B75A7" w14:textId="77777777" w:rsidR="00F504FB" w:rsidRDefault="006C1A84" w:rsidP="00F504FB">
      <w:pPr>
        <w:spacing w:line="240" w:lineRule="auto"/>
        <w:rPr>
          <w:rStyle w:val="Hyperlink"/>
          <w:rFonts w:cs="Arial"/>
          <w:lang w:val="en-US"/>
        </w:rPr>
      </w:pPr>
      <w:r w:rsidRPr="00A307D1">
        <w:rPr>
          <w:rFonts w:cs="Arial"/>
          <w:color w:val="000000" w:themeColor="text1"/>
          <w:lang w:val="en-US"/>
        </w:rPr>
        <w:t xml:space="preserve">Jörg Zwilling, Director Global Communications &amp; Business Development, </w:t>
      </w:r>
      <w:hyperlink r:id="rId25" w:history="1">
        <w:r w:rsidRPr="00A307D1">
          <w:rPr>
            <w:rStyle w:val="normaltextrun"/>
            <w:rFonts w:cs="Arial"/>
            <w:color w:val="0000FF"/>
            <w:u w:val="single"/>
            <w:lang w:val="fr-BE"/>
          </w:rPr>
          <w:t>j.zwilling@quantron.net</w:t>
        </w:r>
      </w:hyperlink>
      <w:r w:rsidRPr="00A307D1">
        <w:rPr>
          <w:rFonts w:cs="Arial"/>
          <w:sz w:val="20"/>
          <w:szCs w:val="20"/>
          <w:lang w:val="en-US"/>
        </w:rPr>
        <w:br/>
      </w:r>
      <w:r w:rsidRPr="00A307D1">
        <w:rPr>
          <w:rFonts w:cs="Arial"/>
          <w:lang w:val="en-US"/>
        </w:rPr>
        <w:t xml:space="preserve">Stephanie Miller, Marketing &amp; Communications Quantron AG, </w:t>
      </w:r>
      <w:hyperlink r:id="rId26" w:history="1">
        <w:r w:rsidRPr="00A307D1">
          <w:rPr>
            <w:rStyle w:val="Hyperlink"/>
            <w:rFonts w:cs="Arial"/>
            <w:lang w:val="en-US"/>
          </w:rPr>
          <w:t>press@quantron.net</w:t>
        </w:r>
      </w:hyperlink>
    </w:p>
    <w:p w14:paraId="221D549F" w14:textId="77777777" w:rsidR="00F504FB" w:rsidRPr="00FF08A9" w:rsidRDefault="00F504FB" w:rsidP="00A225D1">
      <w:pPr>
        <w:spacing w:line="240" w:lineRule="auto"/>
        <w:rPr>
          <w:rFonts w:eastAsia="Calibri" w:cs="Arial"/>
          <w:lang w:val="en-US"/>
        </w:rPr>
      </w:pPr>
    </w:p>
    <w:sectPr w:rsidR="00F504FB" w:rsidRPr="00FF08A9" w:rsidSect="00B15014">
      <w:headerReference w:type="default" r:id="rId27"/>
      <w:footerReference w:type="default" r:id="rId28"/>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DC54" w14:textId="77777777" w:rsidR="009459D6" w:rsidRDefault="009459D6">
      <w:pPr>
        <w:spacing w:after="0" w:line="240" w:lineRule="auto"/>
      </w:pPr>
      <w:r>
        <w:separator/>
      </w:r>
    </w:p>
  </w:endnote>
  <w:endnote w:type="continuationSeparator" w:id="0">
    <w:p w14:paraId="622B53CC" w14:textId="77777777" w:rsidR="009459D6" w:rsidRDefault="009459D6">
      <w:pPr>
        <w:spacing w:after="0" w:line="240" w:lineRule="auto"/>
      </w:pPr>
      <w:r>
        <w:continuationSeparator/>
      </w:r>
    </w:p>
  </w:endnote>
  <w:endnote w:type="continuationNotice" w:id="1">
    <w:p w14:paraId="61185F2C" w14:textId="77777777" w:rsidR="008D7643" w:rsidRDefault="008D7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9092" w14:textId="77777777" w:rsidR="00EE5C36" w:rsidRPr="000944FD" w:rsidRDefault="006C1A84" w:rsidP="00EE5C36">
    <w:pPr>
      <w:pStyle w:val="Fuzeile"/>
      <w:rPr>
        <w:b/>
        <w:color w:val="595959" w:themeColor="text1" w:themeTint="A6"/>
        <w:sz w:val="20"/>
        <w:szCs w:val="20"/>
      </w:rPr>
    </w:pPr>
    <w:r w:rsidRPr="000944FD">
      <w:rPr>
        <w:rFonts w:cstheme="minorHAnsi"/>
        <w:b/>
        <w:bCs/>
        <w:sz w:val="20"/>
        <w:szCs w:val="20"/>
      </w:rPr>
      <w:t>Quantron AG</w:t>
    </w:r>
  </w:p>
  <w:p w14:paraId="46B020FB" w14:textId="77777777" w:rsidR="002D0904" w:rsidRPr="005D2817" w:rsidRDefault="006C1A84" w:rsidP="001A0965">
    <w:pPr>
      <w:pStyle w:val="Fuzeile"/>
      <w:rPr>
        <w:color w:val="595959" w:themeColor="text1" w:themeTint="A6"/>
        <w:sz w:val="20"/>
      </w:rPr>
    </w:pPr>
    <w:r w:rsidRPr="005D2817">
      <w:rPr>
        <w:color w:val="595959" w:themeColor="text1" w:themeTint="A6"/>
        <w:sz w:val="20"/>
      </w:rPr>
      <w:t>Koblenzer Straße 2, D-86368 Gersthofen</w:t>
    </w:r>
  </w:p>
  <w:p w14:paraId="6DEE2568" w14:textId="77777777" w:rsidR="002D0904" w:rsidRPr="002633B3" w:rsidRDefault="006C1A84"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5244C828" wp14:editId="33BF822B">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06A97A53" w14:textId="77777777" w:rsidR="00790717" w:rsidRPr="00790717" w:rsidRDefault="006C1A84" w:rsidP="00790717">
                          <w:pPr>
                            <w:rPr>
                              <w:color w:val="0971B7"/>
                              <w:sz w:val="16"/>
                              <w:szCs w:val="16"/>
                            </w:rPr>
                          </w:pPr>
                          <w:r>
                            <w:rPr>
                              <w:bCs/>
                              <w:color w:val="0971B7"/>
                              <w:sz w:val="16"/>
                              <w:szCs w:val="16"/>
                            </w:rPr>
                            <w:t>page</w:t>
                          </w:r>
                          <w:r w:rsidRPr="00790717">
                            <w:rPr>
                              <w:bCs/>
                              <w:color w:val="0971B7"/>
                              <w:sz w:val="16"/>
                              <w:szCs w:val="16"/>
                            </w:rPr>
                            <w:t xml:space="preserv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377700">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w:t>
                          </w:r>
                          <w:r>
                            <w:rPr>
                              <w:color w:val="0971B7"/>
                              <w:sz w:val="16"/>
                              <w:szCs w:val="16"/>
                            </w:rPr>
                            <w:t>of</w:t>
                          </w:r>
                          <w:r w:rsidRPr="00790717">
                            <w:rPr>
                              <w:color w:val="0971B7"/>
                              <w:sz w:val="16"/>
                              <w:szCs w:val="16"/>
                            </w:rPr>
                            <w:t xml:space="preserve"> </w:t>
                          </w:r>
                          <w:r w:rsidR="00851F4C" w:rsidRPr="00851F4C">
                            <w:fldChar w:fldCharType="begin"/>
                          </w:r>
                          <w:r>
                            <w:instrText>NUMPAGES  \* Arabic  \* MERGEFORMAT</w:instrText>
                          </w:r>
                          <w:r w:rsidR="00851F4C" w:rsidRPr="00851F4C">
                            <w:fldChar w:fldCharType="separate"/>
                          </w:r>
                          <w:r w:rsidR="00377700" w:rsidRPr="00377700">
                            <w:rPr>
                              <w:bCs/>
                              <w:noProof/>
                              <w:color w:val="0971B7"/>
                              <w:sz w:val="16"/>
                              <w:szCs w:val="16"/>
                            </w:rPr>
                            <w:t>3</w:t>
                          </w:r>
                          <w:r w:rsidR="00851F4C" w:rsidRPr="00851F4C">
                            <w:rPr>
                              <w:bCs/>
                              <w:noProof/>
                              <w:color w:val="0971B7"/>
                              <w:sz w:val="16"/>
                              <w:szCs w:val="16"/>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244C828"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" filled="f" stroked="f">
              <v:textbox>
                <w:txbxContent>
                  <w:p w14:paraId="06A97A53" w14:textId="77777777" w:rsidR="00790717" w:rsidRPr="00790717" w:rsidRDefault="006C1A84" w:rsidP="00790717">
                    <w:pPr>
                      <w:rPr>
                        <w:color w:val="0971B7"/>
                        <w:sz w:val="16"/>
                        <w:szCs w:val="16"/>
                      </w:rPr>
                    </w:pPr>
                    <w:r>
                      <w:rPr>
                        <w:bCs/>
                        <w:color w:val="0971B7"/>
                        <w:sz w:val="16"/>
                        <w:szCs w:val="16"/>
                      </w:rPr>
                      <w:t>page</w:t>
                    </w:r>
                    <w:r w:rsidRPr="00790717">
                      <w:rPr>
                        <w:bCs/>
                        <w:color w:val="0971B7"/>
                        <w:sz w:val="16"/>
                        <w:szCs w:val="16"/>
                      </w:rPr>
                      <w:t xml:space="preserv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377700">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w:t>
                    </w:r>
                    <w:r>
                      <w:rPr>
                        <w:color w:val="0971B7"/>
                        <w:sz w:val="16"/>
                        <w:szCs w:val="16"/>
                      </w:rPr>
                      <w:t>of</w:t>
                    </w:r>
                    <w:r w:rsidRPr="00790717">
                      <w:rPr>
                        <w:color w:val="0971B7"/>
                        <w:sz w:val="16"/>
                        <w:szCs w:val="16"/>
                      </w:rPr>
                      <w:t xml:space="preserve"> </w:t>
                    </w:r>
                    <w:r w:rsidR="00851F4C" w:rsidRPr="00851F4C">
                      <w:fldChar w:fldCharType="begin"/>
                    </w:r>
                    <w:r>
                      <w:instrText>NUMPAGES  \* Arabic  \* MERGEFORMAT</w:instrText>
                    </w:r>
                    <w:r w:rsidR="00851F4C" w:rsidRPr="00851F4C">
                      <w:fldChar w:fldCharType="separate"/>
                    </w:r>
                    <w:r w:rsidR="00377700" w:rsidRPr="00377700">
                      <w:rPr>
                        <w:bCs/>
                        <w:noProof/>
                        <w:color w:val="0971B7"/>
                        <w:sz w:val="16"/>
                        <w:szCs w:val="16"/>
                      </w:rPr>
                      <w:t>3</w:t>
                    </w:r>
                    <w:r w:rsidR="00851F4C" w:rsidRPr="00851F4C">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54F18B14" wp14:editId="517167D7">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 xmlns:a="http://schemas.openxmlformats.org/drawingml/2006/main">
                <a:graphicData uri="http://schemas.microsoft.com/office/word/2010/wordprocessingGroup">
                  <wpg:wgp>
                    <wpg:cNvGrpSpPr/>
                    <wpg:grpSpPr>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D6B6" w14:textId="77777777" w:rsidR="00A60ED5" w:rsidRPr="00790717" w:rsidRDefault="00A60ED5" w:rsidP="00790717">
                            <w:pPr>
                              <w:rPr>
                                <w:szCs w:val="14"/>
                              </w:rPr>
                            </w:pPr>
                          </w:p>
                        </w:txbxContent>
                      </wps:txbx>
                      <wps:bodyPr rot="0" vert="horz" wrap="square" anchor="t" anchorCtr="0" upright="1"/>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18B14"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113D6B6"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641DFA05" w14:textId="77777777" w:rsidR="00AE78E4" w:rsidRPr="005D2817" w:rsidRDefault="006C1A8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6231" w14:textId="77777777" w:rsidR="009459D6" w:rsidRDefault="009459D6">
      <w:pPr>
        <w:spacing w:after="0" w:line="240" w:lineRule="auto"/>
      </w:pPr>
      <w:r>
        <w:separator/>
      </w:r>
    </w:p>
  </w:footnote>
  <w:footnote w:type="continuationSeparator" w:id="0">
    <w:p w14:paraId="6A664BAD" w14:textId="77777777" w:rsidR="009459D6" w:rsidRDefault="009459D6">
      <w:pPr>
        <w:spacing w:after="0" w:line="240" w:lineRule="auto"/>
      </w:pPr>
      <w:r>
        <w:continuationSeparator/>
      </w:r>
    </w:p>
  </w:footnote>
  <w:footnote w:type="continuationNotice" w:id="1">
    <w:p w14:paraId="2E5BC73F" w14:textId="77777777" w:rsidR="008D7643" w:rsidRDefault="008D7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80F8" w14:textId="77777777" w:rsidR="00AE78E4" w:rsidRDefault="006C1A84" w:rsidP="001A0965">
    <w:pPr>
      <w:pStyle w:val="Kopfzeile"/>
    </w:pPr>
    <w:r>
      <w:rPr>
        <w:noProof/>
        <w:lang w:eastAsia="de-DE"/>
      </w:rPr>
      <w:drawing>
        <wp:anchor distT="0" distB="0" distL="114300" distR="114300" simplePos="0" relativeHeight="251658242" behindDoc="0" locked="0" layoutInCell="1" allowOverlap="1" wp14:anchorId="73E6DF5F" wp14:editId="7B143BBD">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42995"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CF3A5D68">
      <w:start w:val="1"/>
      <w:numFmt w:val="bullet"/>
      <w:lvlText w:val=""/>
      <w:lvlJc w:val="left"/>
      <w:pPr>
        <w:ind w:left="720" w:hanging="360"/>
      </w:pPr>
      <w:rPr>
        <w:rFonts w:ascii="Symbol" w:hAnsi="Symbol" w:hint="default"/>
      </w:rPr>
    </w:lvl>
    <w:lvl w:ilvl="1" w:tplc="B7140124" w:tentative="1">
      <w:start w:val="1"/>
      <w:numFmt w:val="bullet"/>
      <w:lvlText w:val="o"/>
      <w:lvlJc w:val="left"/>
      <w:pPr>
        <w:ind w:left="1440" w:hanging="360"/>
      </w:pPr>
      <w:rPr>
        <w:rFonts w:ascii="Courier New" w:hAnsi="Courier New" w:cs="Courier New" w:hint="default"/>
      </w:rPr>
    </w:lvl>
    <w:lvl w:ilvl="2" w:tplc="1420829A" w:tentative="1">
      <w:start w:val="1"/>
      <w:numFmt w:val="bullet"/>
      <w:lvlText w:val=""/>
      <w:lvlJc w:val="left"/>
      <w:pPr>
        <w:ind w:left="2160" w:hanging="360"/>
      </w:pPr>
      <w:rPr>
        <w:rFonts w:ascii="Wingdings" w:hAnsi="Wingdings" w:hint="default"/>
      </w:rPr>
    </w:lvl>
    <w:lvl w:ilvl="3" w:tplc="EC3C3B58" w:tentative="1">
      <w:start w:val="1"/>
      <w:numFmt w:val="bullet"/>
      <w:lvlText w:val=""/>
      <w:lvlJc w:val="left"/>
      <w:pPr>
        <w:ind w:left="2880" w:hanging="360"/>
      </w:pPr>
      <w:rPr>
        <w:rFonts w:ascii="Symbol" w:hAnsi="Symbol" w:hint="default"/>
      </w:rPr>
    </w:lvl>
    <w:lvl w:ilvl="4" w:tplc="29D2C4D6" w:tentative="1">
      <w:start w:val="1"/>
      <w:numFmt w:val="bullet"/>
      <w:lvlText w:val="o"/>
      <w:lvlJc w:val="left"/>
      <w:pPr>
        <w:ind w:left="3600" w:hanging="360"/>
      </w:pPr>
      <w:rPr>
        <w:rFonts w:ascii="Courier New" w:hAnsi="Courier New" w:cs="Courier New" w:hint="default"/>
      </w:rPr>
    </w:lvl>
    <w:lvl w:ilvl="5" w:tplc="C124F9BC" w:tentative="1">
      <w:start w:val="1"/>
      <w:numFmt w:val="bullet"/>
      <w:lvlText w:val=""/>
      <w:lvlJc w:val="left"/>
      <w:pPr>
        <w:ind w:left="4320" w:hanging="360"/>
      </w:pPr>
      <w:rPr>
        <w:rFonts w:ascii="Wingdings" w:hAnsi="Wingdings" w:hint="default"/>
      </w:rPr>
    </w:lvl>
    <w:lvl w:ilvl="6" w:tplc="3BDE2EE0" w:tentative="1">
      <w:start w:val="1"/>
      <w:numFmt w:val="bullet"/>
      <w:lvlText w:val=""/>
      <w:lvlJc w:val="left"/>
      <w:pPr>
        <w:ind w:left="5040" w:hanging="360"/>
      </w:pPr>
      <w:rPr>
        <w:rFonts w:ascii="Symbol" w:hAnsi="Symbol" w:hint="default"/>
      </w:rPr>
    </w:lvl>
    <w:lvl w:ilvl="7" w:tplc="914A71B2" w:tentative="1">
      <w:start w:val="1"/>
      <w:numFmt w:val="bullet"/>
      <w:lvlText w:val="o"/>
      <w:lvlJc w:val="left"/>
      <w:pPr>
        <w:ind w:left="5760" w:hanging="360"/>
      </w:pPr>
      <w:rPr>
        <w:rFonts w:ascii="Courier New" w:hAnsi="Courier New" w:cs="Courier New" w:hint="default"/>
      </w:rPr>
    </w:lvl>
    <w:lvl w:ilvl="8" w:tplc="5CC2D9C2"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EE106FD0">
      <w:start w:val="1"/>
      <w:numFmt w:val="bullet"/>
      <w:lvlText w:val=""/>
      <w:lvlJc w:val="left"/>
      <w:pPr>
        <w:ind w:left="720" w:hanging="360"/>
      </w:pPr>
      <w:rPr>
        <w:rFonts w:ascii="Symbol" w:hAnsi="Symbol" w:hint="default"/>
      </w:rPr>
    </w:lvl>
    <w:lvl w:ilvl="1" w:tplc="1E0E48B8" w:tentative="1">
      <w:start w:val="1"/>
      <w:numFmt w:val="bullet"/>
      <w:lvlText w:val="o"/>
      <w:lvlJc w:val="left"/>
      <w:pPr>
        <w:ind w:left="1440" w:hanging="360"/>
      </w:pPr>
      <w:rPr>
        <w:rFonts w:ascii="Courier New" w:hAnsi="Courier New" w:cs="Courier New" w:hint="default"/>
      </w:rPr>
    </w:lvl>
    <w:lvl w:ilvl="2" w:tplc="2A3A395C" w:tentative="1">
      <w:start w:val="1"/>
      <w:numFmt w:val="bullet"/>
      <w:lvlText w:val=""/>
      <w:lvlJc w:val="left"/>
      <w:pPr>
        <w:ind w:left="2160" w:hanging="360"/>
      </w:pPr>
      <w:rPr>
        <w:rFonts w:ascii="Wingdings" w:hAnsi="Wingdings" w:hint="default"/>
      </w:rPr>
    </w:lvl>
    <w:lvl w:ilvl="3" w:tplc="C7C6A35C" w:tentative="1">
      <w:start w:val="1"/>
      <w:numFmt w:val="bullet"/>
      <w:lvlText w:val=""/>
      <w:lvlJc w:val="left"/>
      <w:pPr>
        <w:ind w:left="2880" w:hanging="360"/>
      </w:pPr>
      <w:rPr>
        <w:rFonts w:ascii="Symbol" w:hAnsi="Symbol" w:hint="default"/>
      </w:rPr>
    </w:lvl>
    <w:lvl w:ilvl="4" w:tplc="779E4C68" w:tentative="1">
      <w:start w:val="1"/>
      <w:numFmt w:val="bullet"/>
      <w:lvlText w:val="o"/>
      <w:lvlJc w:val="left"/>
      <w:pPr>
        <w:ind w:left="3600" w:hanging="360"/>
      </w:pPr>
      <w:rPr>
        <w:rFonts w:ascii="Courier New" w:hAnsi="Courier New" w:cs="Courier New" w:hint="default"/>
      </w:rPr>
    </w:lvl>
    <w:lvl w:ilvl="5" w:tplc="BB483552" w:tentative="1">
      <w:start w:val="1"/>
      <w:numFmt w:val="bullet"/>
      <w:lvlText w:val=""/>
      <w:lvlJc w:val="left"/>
      <w:pPr>
        <w:ind w:left="4320" w:hanging="360"/>
      </w:pPr>
      <w:rPr>
        <w:rFonts w:ascii="Wingdings" w:hAnsi="Wingdings" w:hint="default"/>
      </w:rPr>
    </w:lvl>
    <w:lvl w:ilvl="6" w:tplc="D6E23368" w:tentative="1">
      <w:start w:val="1"/>
      <w:numFmt w:val="bullet"/>
      <w:lvlText w:val=""/>
      <w:lvlJc w:val="left"/>
      <w:pPr>
        <w:ind w:left="5040" w:hanging="360"/>
      </w:pPr>
      <w:rPr>
        <w:rFonts w:ascii="Symbol" w:hAnsi="Symbol" w:hint="default"/>
      </w:rPr>
    </w:lvl>
    <w:lvl w:ilvl="7" w:tplc="8C5E7D84" w:tentative="1">
      <w:start w:val="1"/>
      <w:numFmt w:val="bullet"/>
      <w:lvlText w:val="o"/>
      <w:lvlJc w:val="left"/>
      <w:pPr>
        <w:ind w:left="5760" w:hanging="360"/>
      </w:pPr>
      <w:rPr>
        <w:rFonts w:ascii="Courier New" w:hAnsi="Courier New" w:cs="Courier New" w:hint="default"/>
      </w:rPr>
    </w:lvl>
    <w:lvl w:ilvl="8" w:tplc="CC683060" w:tentative="1">
      <w:start w:val="1"/>
      <w:numFmt w:val="bullet"/>
      <w:lvlText w:val=""/>
      <w:lvlJc w:val="left"/>
      <w:pPr>
        <w:ind w:left="6480" w:hanging="360"/>
      </w:pPr>
      <w:rPr>
        <w:rFonts w:ascii="Wingdings" w:hAnsi="Wingdings" w:hint="default"/>
      </w:rPr>
    </w:lvl>
  </w:abstractNum>
  <w:num w:numId="1" w16cid:durableId="139152668">
    <w:abstractNumId w:val="1"/>
  </w:num>
  <w:num w:numId="2" w16cid:durableId="199610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FF"/>
    <w:rsid w:val="00001517"/>
    <w:rsid w:val="00006427"/>
    <w:rsid w:val="000117DC"/>
    <w:rsid w:val="00012331"/>
    <w:rsid w:val="00023566"/>
    <w:rsid w:val="0002379F"/>
    <w:rsid w:val="00032052"/>
    <w:rsid w:val="0003259C"/>
    <w:rsid w:val="00035E2A"/>
    <w:rsid w:val="00035FFF"/>
    <w:rsid w:val="000360CB"/>
    <w:rsid w:val="000371E5"/>
    <w:rsid w:val="00047925"/>
    <w:rsid w:val="00051CA3"/>
    <w:rsid w:val="000538AD"/>
    <w:rsid w:val="00054DE0"/>
    <w:rsid w:val="00056BA5"/>
    <w:rsid w:val="00075199"/>
    <w:rsid w:val="00090E68"/>
    <w:rsid w:val="000928E5"/>
    <w:rsid w:val="0009370F"/>
    <w:rsid w:val="000944FD"/>
    <w:rsid w:val="00096D43"/>
    <w:rsid w:val="000B6B9A"/>
    <w:rsid w:val="000C14CE"/>
    <w:rsid w:val="000C6948"/>
    <w:rsid w:val="000C71F9"/>
    <w:rsid w:val="000D1A30"/>
    <w:rsid w:val="000F0EA1"/>
    <w:rsid w:val="000F4996"/>
    <w:rsid w:val="00113A8A"/>
    <w:rsid w:val="00113E8F"/>
    <w:rsid w:val="001417A9"/>
    <w:rsid w:val="00150D45"/>
    <w:rsid w:val="00152562"/>
    <w:rsid w:val="001536A5"/>
    <w:rsid w:val="00153862"/>
    <w:rsid w:val="00154823"/>
    <w:rsid w:val="001579F1"/>
    <w:rsid w:val="0016309B"/>
    <w:rsid w:val="00165ADC"/>
    <w:rsid w:val="00174480"/>
    <w:rsid w:val="00180607"/>
    <w:rsid w:val="00182B88"/>
    <w:rsid w:val="001875DD"/>
    <w:rsid w:val="001A0965"/>
    <w:rsid w:val="001A1178"/>
    <w:rsid w:val="001A52B1"/>
    <w:rsid w:val="001B3E0F"/>
    <w:rsid w:val="001B63EE"/>
    <w:rsid w:val="001C3B18"/>
    <w:rsid w:val="001C7087"/>
    <w:rsid w:val="001D75BD"/>
    <w:rsid w:val="001E16CA"/>
    <w:rsid w:val="001E1C2B"/>
    <w:rsid w:val="001E3047"/>
    <w:rsid w:val="001E45C8"/>
    <w:rsid w:val="001F031E"/>
    <w:rsid w:val="001F0FDD"/>
    <w:rsid w:val="001F3857"/>
    <w:rsid w:val="0020391A"/>
    <w:rsid w:val="00214E19"/>
    <w:rsid w:val="00217303"/>
    <w:rsid w:val="00221D25"/>
    <w:rsid w:val="002227F2"/>
    <w:rsid w:val="0022565D"/>
    <w:rsid w:val="00226A27"/>
    <w:rsid w:val="002309AC"/>
    <w:rsid w:val="00234301"/>
    <w:rsid w:val="002353A6"/>
    <w:rsid w:val="00240BEA"/>
    <w:rsid w:val="0024135C"/>
    <w:rsid w:val="00243D46"/>
    <w:rsid w:val="0025057D"/>
    <w:rsid w:val="00252BB9"/>
    <w:rsid w:val="0025461D"/>
    <w:rsid w:val="0026162A"/>
    <w:rsid w:val="002633B3"/>
    <w:rsid w:val="00273889"/>
    <w:rsid w:val="00275722"/>
    <w:rsid w:val="00275C5D"/>
    <w:rsid w:val="00294F24"/>
    <w:rsid w:val="0029685D"/>
    <w:rsid w:val="002973BE"/>
    <w:rsid w:val="002975E2"/>
    <w:rsid w:val="002975FA"/>
    <w:rsid w:val="002A58E0"/>
    <w:rsid w:val="002A6CB6"/>
    <w:rsid w:val="002C3500"/>
    <w:rsid w:val="002C64E1"/>
    <w:rsid w:val="002C7249"/>
    <w:rsid w:val="002D0904"/>
    <w:rsid w:val="002D436F"/>
    <w:rsid w:val="002D657B"/>
    <w:rsid w:val="002D66AA"/>
    <w:rsid w:val="002E02F7"/>
    <w:rsid w:val="002E4648"/>
    <w:rsid w:val="002E51EA"/>
    <w:rsid w:val="002E76B0"/>
    <w:rsid w:val="002F397F"/>
    <w:rsid w:val="002F5AE4"/>
    <w:rsid w:val="002F7680"/>
    <w:rsid w:val="003172FA"/>
    <w:rsid w:val="00320725"/>
    <w:rsid w:val="00320FE3"/>
    <w:rsid w:val="00326B72"/>
    <w:rsid w:val="00337D3C"/>
    <w:rsid w:val="00370BC2"/>
    <w:rsid w:val="003754CA"/>
    <w:rsid w:val="00377700"/>
    <w:rsid w:val="00377865"/>
    <w:rsid w:val="003824EA"/>
    <w:rsid w:val="003958CD"/>
    <w:rsid w:val="003A71A2"/>
    <w:rsid w:val="003C0EF8"/>
    <w:rsid w:val="003E49CD"/>
    <w:rsid w:val="003E700E"/>
    <w:rsid w:val="003E7839"/>
    <w:rsid w:val="003F01E4"/>
    <w:rsid w:val="003F1AAC"/>
    <w:rsid w:val="003F6267"/>
    <w:rsid w:val="003F63B3"/>
    <w:rsid w:val="00401889"/>
    <w:rsid w:val="00413AAB"/>
    <w:rsid w:val="00421C03"/>
    <w:rsid w:val="00423723"/>
    <w:rsid w:val="00445A1D"/>
    <w:rsid w:val="00453D0A"/>
    <w:rsid w:val="004610D8"/>
    <w:rsid w:val="0046663A"/>
    <w:rsid w:val="00473615"/>
    <w:rsid w:val="00475C54"/>
    <w:rsid w:val="00485FF1"/>
    <w:rsid w:val="004954AD"/>
    <w:rsid w:val="004978D8"/>
    <w:rsid w:val="004A0858"/>
    <w:rsid w:val="004A2B2D"/>
    <w:rsid w:val="004B32B0"/>
    <w:rsid w:val="004B3317"/>
    <w:rsid w:val="004B3DD1"/>
    <w:rsid w:val="004C510E"/>
    <w:rsid w:val="004D0693"/>
    <w:rsid w:val="004E1467"/>
    <w:rsid w:val="005012F4"/>
    <w:rsid w:val="00501E35"/>
    <w:rsid w:val="00504F1D"/>
    <w:rsid w:val="00511047"/>
    <w:rsid w:val="005240B0"/>
    <w:rsid w:val="005248CC"/>
    <w:rsid w:val="0052668B"/>
    <w:rsid w:val="00534909"/>
    <w:rsid w:val="0053512B"/>
    <w:rsid w:val="005352CC"/>
    <w:rsid w:val="00536239"/>
    <w:rsid w:val="00543AEA"/>
    <w:rsid w:val="005546AA"/>
    <w:rsid w:val="00561388"/>
    <w:rsid w:val="0056386B"/>
    <w:rsid w:val="005912DB"/>
    <w:rsid w:val="00592440"/>
    <w:rsid w:val="005A3498"/>
    <w:rsid w:val="005D2334"/>
    <w:rsid w:val="005D2817"/>
    <w:rsid w:val="005D5196"/>
    <w:rsid w:val="005E2014"/>
    <w:rsid w:val="00616F4A"/>
    <w:rsid w:val="00634747"/>
    <w:rsid w:val="00645329"/>
    <w:rsid w:val="006460A4"/>
    <w:rsid w:val="006463BD"/>
    <w:rsid w:val="006511D8"/>
    <w:rsid w:val="00671A6F"/>
    <w:rsid w:val="0067464E"/>
    <w:rsid w:val="00676D9C"/>
    <w:rsid w:val="0069705D"/>
    <w:rsid w:val="006B0E2C"/>
    <w:rsid w:val="006B4D38"/>
    <w:rsid w:val="006B7543"/>
    <w:rsid w:val="006C1A84"/>
    <w:rsid w:val="006C35E2"/>
    <w:rsid w:val="006D13BD"/>
    <w:rsid w:val="00701477"/>
    <w:rsid w:val="00710CE9"/>
    <w:rsid w:val="007145E8"/>
    <w:rsid w:val="0071627E"/>
    <w:rsid w:val="0072361C"/>
    <w:rsid w:val="0074160C"/>
    <w:rsid w:val="00745FEA"/>
    <w:rsid w:val="007469A9"/>
    <w:rsid w:val="00754015"/>
    <w:rsid w:val="007628A4"/>
    <w:rsid w:val="00765BB9"/>
    <w:rsid w:val="00775363"/>
    <w:rsid w:val="00776508"/>
    <w:rsid w:val="00776D92"/>
    <w:rsid w:val="00790717"/>
    <w:rsid w:val="00797627"/>
    <w:rsid w:val="007B29FD"/>
    <w:rsid w:val="007B33E6"/>
    <w:rsid w:val="007D27BB"/>
    <w:rsid w:val="007D2FC7"/>
    <w:rsid w:val="007E03C3"/>
    <w:rsid w:val="007E205D"/>
    <w:rsid w:val="007E37C8"/>
    <w:rsid w:val="007E3AE1"/>
    <w:rsid w:val="007E4A51"/>
    <w:rsid w:val="007E4C28"/>
    <w:rsid w:val="007E5F19"/>
    <w:rsid w:val="007E6A5C"/>
    <w:rsid w:val="007F3AB0"/>
    <w:rsid w:val="008068EA"/>
    <w:rsid w:val="008103CB"/>
    <w:rsid w:val="00811A60"/>
    <w:rsid w:val="00814A6D"/>
    <w:rsid w:val="008269B4"/>
    <w:rsid w:val="00832665"/>
    <w:rsid w:val="00840BB0"/>
    <w:rsid w:val="00845F52"/>
    <w:rsid w:val="00851E8A"/>
    <w:rsid w:val="00851F4C"/>
    <w:rsid w:val="0085284F"/>
    <w:rsid w:val="008564D3"/>
    <w:rsid w:val="00873A34"/>
    <w:rsid w:val="008838EC"/>
    <w:rsid w:val="0088536F"/>
    <w:rsid w:val="00886DBF"/>
    <w:rsid w:val="00896016"/>
    <w:rsid w:val="008A116F"/>
    <w:rsid w:val="008A41D6"/>
    <w:rsid w:val="008B421F"/>
    <w:rsid w:val="008B735F"/>
    <w:rsid w:val="008B7AF6"/>
    <w:rsid w:val="008D2E5C"/>
    <w:rsid w:val="008D4615"/>
    <w:rsid w:val="008D7643"/>
    <w:rsid w:val="008E05B5"/>
    <w:rsid w:val="008E251B"/>
    <w:rsid w:val="008E51D6"/>
    <w:rsid w:val="008E6AB6"/>
    <w:rsid w:val="008F514A"/>
    <w:rsid w:val="009004C8"/>
    <w:rsid w:val="009071ED"/>
    <w:rsid w:val="009138CA"/>
    <w:rsid w:val="009248EA"/>
    <w:rsid w:val="009260C6"/>
    <w:rsid w:val="00926B94"/>
    <w:rsid w:val="00940AEE"/>
    <w:rsid w:val="00944B0D"/>
    <w:rsid w:val="009459D6"/>
    <w:rsid w:val="009A4F65"/>
    <w:rsid w:val="009A527F"/>
    <w:rsid w:val="009B7683"/>
    <w:rsid w:val="009C434C"/>
    <w:rsid w:val="009D4395"/>
    <w:rsid w:val="009E2573"/>
    <w:rsid w:val="00A055C7"/>
    <w:rsid w:val="00A1262D"/>
    <w:rsid w:val="00A12F98"/>
    <w:rsid w:val="00A1558E"/>
    <w:rsid w:val="00A170CF"/>
    <w:rsid w:val="00A20FB1"/>
    <w:rsid w:val="00A225D1"/>
    <w:rsid w:val="00A270AA"/>
    <w:rsid w:val="00A307D1"/>
    <w:rsid w:val="00A45115"/>
    <w:rsid w:val="00A459AF"/>
    <w:rsid w:val="00A51E69"/>
    <w:rsid w:val="00A53D29"/>
    <w:rsid w:val="00A5489F"/>
    <w:rsid w:val="00A5551E"/>
    <w:rsid w:val="00A56F4A"/>
    <w:rsid w:val="00A60ED5"/>
    <w:rsid w:val="00A6646C"/>
    <w:rsid w:val="00A80F21"/>
    <w:rsid w:val="00A83308"/>
    <w:rsid w:val="00A939FD"/>
    <w:rsid w:val="00A9587D"/>
    <w:rsid w:val="00A9700E"/>
    <w:rsid w:val="00AB40E5"/>
    <w:rsid w:val="00AC7214"/>
    <w:rsid w:val="00AD272C"/>
    <w:rsid w:val="00AE205D"/>
    <w:rsid w:val="00AE2380"/>
    <w:rsid w:val="00AE29CD"/>
    <w:rsid w:val="00AE5EDF"/>
    <w:rsid w:val="00AE78E4"/>
    <w:rsid w:val="00B01677"/>
    <w:rsid w:val="00B139D7"/>
    <w:rsid w:val="00B147CE"/>
    <w:rsid w:val="00B15014"/>
    <w:rsid w:val="00B2162B"/>
    <w:rsid w:val="00B22998"/>
    <w:rsid w:val="00B26DC8"/>
    <w:rsid w:val="00B2775B"/>
    <w:rsid w:val="00B31303"/>
    <w:rsid w:val="00B45616"/>
    <w:rsid w:val="00B53F63"/>
    <w:rsid w:val="00B574DC"/>
    <w:rsid w:val="00B60081"/>
    <w:rsid w:val="00B64882"/>
    <w:rsid w:val="00B82BFE"/>
    <w:rsid w:val="00B845A2"/>
    <w:rsid w:val="00BA1CC6"/>
    <w:rsid w:val="00BA2B45"/>
    <w:rsid w:val="00BA6AD9"/>
    <w:rsid w:val="00BB262F"/>
    <w:rsid w:val="00BC49AA"/>
    <w:rsid w:val="00BC7E72"/>
    <w:rsid w:val="00BD6E8F"/>
    <w:rsid w:val="00BE057C"/>
    <w:rsid w:val="00BE073B"/>
    <w:rsid w:val="00BE0DD3"/>
    <w:rsid w:val="00BE5BBB"/>
    <w:rsid w:val="00BF688A"/>
    <w:rsid w:val="00BF6D6D"/>
    <w:rsid w:val="00C175B4"/>
    <w:rsid w:val="00C2066C"/>
    <w:rsid w:val="00C21531"/>
    <w:rsid w:val="00C32D00"/>
    <w:rsid w:val="00C35099"/>
    <w:rsid w:val="00C36740"/>
    <w:rsid w:val="00C44DDA"/>
    <w:rsid w:val="00C4555B"/>
    <w:rsid w:val="00C45A18"/>
    <w:rsid w:val="00C52985"/>
    <w:rsid w:val="00C55183"/>
    <w:rsid w:val="00C63E4C"/>
    <w:rsid w:val="00C76300"/>
    <w:rsid w:val="00C76E78"/>
    <w:rsid w:val="00C81A0B"/>
    <w:rsid w:val="00C867F7"/>
    <w:rsid w:val="00C96478"/>
    <w:rsid w:val="00CB2B1F"/>
    <w:rsid w:val="00CB40AD"/>
    <w:rsid w:val="00CC1B6C"/>
    <w:rsid w:val="00CC27C4"/>
    <w:rsid w:val="00CC434B"/>
    <w:rsid w:val="00CD1E78"/>
    <w:rsid w:val="00CD3E89"/>
    <w:rsid w:val="00CD4CE1"/>
    <w:rsid w:val="00CE5E8B"/>
    <w:rsid w:val="00CF1072"/>
    <w:rsid w:val="00CF4712"/>
    <w:rsid w:val="00CF77BF"/>
    <w:rsid w:val="00D02539"/>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D6108"/>
    <w:rsid w:val="00DD71EC"/>
    <w:rsid w:val="00DE1DCF"/>
    <w:rsid w:val="00DE4E57"/>
    <w:rsid w:val="00DF157E"/>
    <w:rsid w:val="00DF213A"/>
    <w:rsid w:val="00DF5878"/>
    <w:rsid w:val="00E02526"/>
    <w:rsid w:val="00E13E09"/>
    <w:rsid w:val="00E27DC9"/>
    <w:rsid w:val="00E35B4F"/>
    <w:rsid w:val="00E3707F"/>
    <w:rsid w:val="00E44092"/>
    <w:rsid w:val="00E45612"/>
    <w:rsid w:val="00E46429"/>
    <w:rsid w:val="00E512CE"/>
    <w:rsid w:val="00E55CD3"/>
    <w:rsid w:val="00E55F9D"/>
    <w:rsid w:val="00E62689"/>
    <w:rsid w:val="00E70F1A"/>
    <w:rsid w:val="00E7139B"/>
    <w:rsid w:val="00E767EC"/>
    <w:rsid w:val="00EA0505"/>
    <w:rsid w:val="00EA0908"/>
    <w:rsid w:val="00EA7185"/>
    <w:rsid w:val="00EB04DB"/>
    <w:rsid w:val="00EB1D0B"/>
    <w:rsid w:val="00EC5ECD"/>
    <w:rsid w:val="00ED266A"/>
    <w:rsid w:val="00ED4171"/>
    <w:rsid w:val="00EE4DA2"/>
    <w:rsid w:val="00EE5C36"/>
    <w:rsid w:val="00EF449E"/>
    <w:rsid w:val="00F04C31"/>
    <w:rsid w:val="00F05EA4"/>
    <w:rsid w:val="00F1572B"/>
    <w:rsid w:val="00F22844"/>
    <w:rsid w:val="00F36DCB"/>
    <w:rsid w:val="00F3742E"/>
    <w:rsid w:val="00F44012"/>
    <w:rsid w:val="00F504FB"/>
    <w:rsid w:val="00F63FEA"/>
    <w:rsid w:val="00F72981"/>
    <w:rsid w:val="00F8708A"/>
    <w:rsid w:val="00F87EA1"/>
    <w:rsid w:val="00FA306B"/>
    <w:rsid w:val="00FB023F"/>
    <w:rsid w:val="00FB14A3"/>
    <w:rsid w:val="00FB193E"/>
    <w:rsid w:val="00FB59B4"/>
    <w:rsid w:val="00FC21AD"/>
    <w:rsid w:val="00FC3EBE"/>
    <w:rsid w:val="00FC6EB1"/>
    <w:rsid w:val="00FD2790"/>
    <w:rsid w:val="00FD41AC"/>
    <w:rsid w:val="00FE61F9"/>
    <w:rsid w:val="00FF0798"/>
    <w:rsid w:val="00FF08A9"/>
    <w:rsid w:val="00FF4328"/>
    <w:rsid w:val="00FF7BB3"/>
    <w:rsid w:val="0626D4D0"/>
    <w:rsid w:val="15BB30EC"/>
    <w:rsid w:val="2733DAAE"/>
    <w:rsid w:val="2802BF8C"/>
    <w:rsid w:val="29E8B8C7"/>
    <w:rsid w:val="348397D3"/>
    <w:rsid w:val="357D5708"/>
    <w:rsid w:val="442ECB20"/>
    <w:rsid w:val="599EAD3A"/>
    <w:rsid w:val="61DDB5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9678"/>
  <w15:docId w15:val="{6F0751C9-0114-41EB-AB67-50349FCF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UnresolvedMention1">
    <w:name w:val="Unresolved Mention1"/>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customStyle="1" w:styleId="Default">
    <w:name w:val="Default"/>
    <w:rsid w:val="00A225D1"/>
    <w:pPr>
      <w:autoSpaceDE w:val="0"/>
      <w:autoSpaceDN w:val="0"/>
      <w:adjustRightInd w:val="0"/>
      <w:spacing w:after="0" w:line="240" w:lineRule="auto"/>
    </w:pPr>
    <w:rPr>
      <w:rFonts w:ascii="Gadugi" w:hAnsi="Gadugi" w:cs="Gadugi"/>
      <w:color w:val="000000"/>
      <w:sz w:val="24"/>
      <w:szCs w:val="24"/>
    </w:rPr>
  </w:style>
  <w:style w:type="paragraph" w:styleId="berarbeitung">
    <w:name w:val="Revision"/>
    <w:hidden/>
    <w:uiPriority w:val="99"/>
    <w:semiHidden/>
    <w:rsid w:val="00413AAB"/>
    <w:pPr>
      <w:spacing w:after="0" w:line="240" w:lineRule="auto"/>
    </w:pPr>
    <w:rPr>
      <w:rFonts w:ascii="Arial" w:hAnsi="Arial"/>
    </w:rPr>
  </w:style>
  <w:style w:type="character" w:styleId="BesuchterLink">
    <w:name w:val="FollowedHyperlink"/>
    <w:basedOn w:val="Absatz-Standardschriftart"/>
    <w:uiPriority w:val="99"/>
    <w:semiHidden/>
    <w:unhideWhenUsed/>
    <w:rsid w:val="00413AAB"/>
    <w:rPr>
      <w:color w:val="800080" w:themeColor="followedHyperlink"/>
      <w:u w:val="single"/>
    </w:rPr>
  </w:style>
  <w:style w:type="character" w:styleId="NichtaufgelsteErwhnung">
    <w:name w:val="Unresolved Mention"/>
    <w:basedOn w:val="Absatz-Standardschriftart"/>
    <w:uiPriority w:val="99"/>
    <w:semiHidden/>
    <w:unhideWhenUsed/>
    <w:rsid w:val="003E49CD"/>
    <w:rPr>
      <w:color w:val="605E5C"/>
      <w:shd w:val="clear" w:color="auto" w:fill="E1DFDD"/>
    </w:rPr>
  </w:style>
  <w:style w:type="character" w:customStyle="1" w:styleId="ui-provider">
    <w:name w:val="ui-provider"/>
    <w:basedOn w:val="Absatz-Standardschriftart"/>
    <w:rsid w:val="00FB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1/QUANTRON_Oilinvest_Joint_Venture-scaled.jpg" TargetMode="External"/><Relationship Id="rId18" Type="http://schemas.openxmlformats.org/officeDocument/2006/relationships/image" Target="media/image3.jpeg"/><Relationship Id="rId26"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www.quantron.net/en" TargetMode="External"/><Relationship Id="rId17" Type="http://schemas.openxmlformats.org/officeDocument/2006/relationships/hyperlink" Target="https://www.quantron.net/wp-content/uploads/2023/11/QUANTRON-QHM-FCEV-AERO-scaled.jpg" TargetMode="External"/><Relationship Id="rId25" Type="http://schemas.openxmlformats.org/officeDocument/2006/relationships/hyperlink" Target="mailto:j.zwilling@quantron.ne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youtu.be/FkBQdtN1Js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linvest.com/what-we-do/operations/" TargetMode="External"/><Relationship Id="rId24" Type="http://schemas.openxmlformats.org/officeDocument/2006/relationships/hyperlink" Target="http://www.oilinvest.com" TargetMode="External"/><Relationship Id="rId5" Type="http://schemas.openxmlformats.org/officeDocument/2006/relationships/numbering" Target="numbering.xml"/><Relationship Id="rId15" Type="http://schemas.openxmlformats.org/officeDocument/2006/relationships/hyperlink" Target="https://www.quantron.net/wp-content/uploads/2023/11/HEMTRON_logo.jpg" TargetMode="External"/><Relationship Id="rId23"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uantron.net/en/q-news/press-rel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Props1.xml><?xml version="1.0" encoding="utf-8"?>
<ds:datastoreItem xmlns:ds="http://schemas.openxmlformats.org/officeDocument/2006/customXml" ds:itemID="{FDC7377E-E2B6-4627-A9AF-2E855ED5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753FA-F607-4FF8-8340-9F1AA9466A52}">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9CFF70FA-AF1F-4281-A16D-CC351A8D2E1D}">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6916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21</cp:revision>
  <dcterms:created xsi:type="dcterms:W3CDTF">2023-11-08T11:25:00Z</dcterms:created>
  <dcterms:modified xsi:type="dcterms:W3CDTF">2023-11-13T07:48:00Z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