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A2EC943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19757E" w:rsidRPr="0019757E">
        <w:rPr>
          <w:rFonts w:cs="Arial"/>
          <w:sz w:val="18"/>
        </w:rPr>
        <w:t>06.</w:t>
      </w:r>
      <w:r w:rsidR="0078500E" w:rsidRPr="0019757E">
        <w:rPr>
          <w:rFonts w:cs="Arial"/>
          <w:sz w:val="18"/>
        </w:rPr>
        <w:t xml:space="preserve"> </w:t>
      </w:r>
      <w:r w:rsidR="00E45914" w:rsidRPr="0019757E">
        <w:rPr>
          <w:rFonts w:cs="Arial"/>
          <w:sz w:val="18"/>
        </w:rPr>
        <w:t xml:space="preserve">Februar </w:t>
      </w:r>
      <w:r w:rsidRPr="0019757E">
        <w:rPr>
          <w:rFonts w:cs="Arial"/>
          <w:sz w:val="18"/>
        </w:rPr>
        <w:t>202</w:t>
      </w:r>
      <w:r w:rsidR="00520CA8" w:rsidRPr="0019757E">
        <w:rPr>
          <w:rFonts w:cs="Arial"/>
          <w:sz w:val="18"/>
        </w:rPr>
        <w:t>4</w:t>
      </w:r>
    </w:p>
    <w:p w14:paraId="7915A56D" w14:textId="46EDB65F" w:rsidR="0069112E" w:rsidRPr="001A017C" w:rsidRDefault="006429BF" w:rsidP="00E32FDC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 w:rsidRPr="00E32FDC">
        <w:rPr>
          <w:rFonts w:cs="Arial"/>
          <w:b/>
          <w:bCs/>
          <w:sz w:val="28"/>
          <w:szCs w:val="28"/>
        </w:rPr>
        <w:t>Emissionsfreie Mobilität</w:t>
      </w:r>
      <w:r w:rsidR="005A2754" w:rsidRPr="00E32FDC">
        <w:rPr>
          <w:rFonts w:cs="Arial"/>
          <w:b/>
          <w:bCs/>
          <w:sz w:val="28"/>
          <w:szCs w:val="28"/>
        </w:rPr>
        <w:t xml:space="preserve"> durch</w:t>
      </w:r>
      <w:r w:rsidR="001D311A" w:rsidRPr="00E32FDC">
        <w:rPr>
          <w:rFonts w:cs="Arial"/>
          <w:b/>
          <w:bCs/>
          <w:sz w:val="28"/>
          <w:szCs w:val="28"/>
        </w:rPr>
        <w:t xml:space="preserve"> </w:t>
      </w:r>
      <w:r w:rsidR="009A7904">
        <w:rPr>
          <w:rFonts w:cs="Arial"/>
          <w:b/>
          <w:bCs/>
          <w:sz w:val="28"/>
          <w:szCs w:val="28"/>
        </w:rPr>
        <w:t>organische Reststoffe</w:t>
      </w:r>
      <w:r w:rsidRPr="00E32FDC">
        <w:rPr>
          <w:rFonts w:cs="Arial"/>
          <w:b/>
          <w:bCs/>
          <w:sz w:val="28"/>
          <w:szCs w:val="28"/>
        </w:rPr>
        <w:t>:</w:t>
      </w:r>
      <w:r w:rsidR="79331FB1" w:rsidRPr="00E32FDC">
        <w:rPr>
          <w:rFonts w:cs="Arial"/>
          <w:b/>
          <w:bCs/>
          <w:sz w:val="28"/>
          <w:szCs w:val="28"/>
        </w:rPr>
        <w:t xml:space="preserve"> QUANTRON erweitert die </w:t>
      </w:r>
      <w:r w:rsidR="004F5F15" w:rsidRPr="00E32FDC">
        <w:rPr>
          <w:rFonts w:cs="Arial"/>
          <w:b/>
          <w:bCs/>
          <w:sz w:val="28"/>
          <w:szCs w:val="28"/>
        </w:rPr>
        <w:t xml:space="preserve">Clean Transportation Alliance </w:t>
      </w:r>
      <w:r w:rsidR="26BDE687" w:rsidRPr="00E32FDC">
        <w:rPr>
          <w:rFonts w:cs="Arial"/>
          <w:b/>
          <w:bCs/>
          <w:sz w:val="28"/>
          <w:szCs w:val="28"/>
        </w:rPr>
        <w:t xml:space="preserve">um Bayerisches Tech </w:t>
      </w:r>
      <w:r w:rsidR="7661EF6D" w:rsidRPr="00E32FDC">
        <w:rPr>
          <w:rFonts w:cs="Arial"/>
          <w:b/>
          <w:bCs/>
          <w:sz w:val="28"/>
          <w:szCs w:val="28"/>
        </w:rPr>
        <w:t>U</w:t>
      </w:r>
      <w:r w:rsidR="26BDE687" w:rsidRPr="00E32FDC">
        <w:rPr>
          <w:rFonts w:cs="Arial"/>
          <w:b/>
          <w:bCs/>
          <w:sz w:val="28"/>
          <w:szCs w:val="28"/>
        </w:rPr>
        <w:t xml:space="preserve">nternehmen </w:t>
      </w:r>
      <w:proofErr w:type="spellStart"/>
      <w:r w:rsidR="26BDE687" w:rsidRPr="00E32FDC">
        <w:rPr>
          <w:rFonts w:cs="Arial"/>
          <w:b/>
          <w:bCs/>
          <w:sz w:val="28"/>
          <w:szCs w:val="28"/>
        </w:rPr>
        <w:t>blueFLUX</w:t>
      </w:r>
      <w:proofErr w:type="spellEnd"/>
      <w:r w:rsidR="26BDE687" w:rsidRPr="00E32FDC">
        <w:rPr>
          <w:rFonts w:cs="Arial"/>
          <w:b/>
          <w:bCs/>
          <w:sz w:val="28"/>
          <w:szCs w:val="28"/>
        </w:rPr>
        <w:t xml:space="preserve"> Energy</w:t>
      </w:r>
    </w:p>
    <w:p w14:paraId="4B457CB4" w14:textId="2A9365B8" w:rsidR="0036362A" w:rsidRDefault="004F5F15" w:rsidP="00E45914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D137BA" w:rsidRPr="00E32FDC">
        <w:rPr>
          <w:rFonts w:ascii="Arial" w:hAnsi="Arial" w:cs="Arial"/>
          <w:sz w:val="22"/>
          <w:szCs w:val="22"/>
        </w:rPr>
        <w:t>blueFLUX</w:t>
      </w:r>
      <w:proofErr w:type="spellEnd"/>
      <w:r w:rsidRPr="00E32FDC">
        <w:rPr>
          <w:rFonts w:ascii="Arial" w:hAnsi="Arial" w:cs="Arial"/>
          <w:sz w:val="22"/>
          <w:szCs w:val="22"/>
        </w:rPr>
        <w:t xml:space="preserve"> Energy wird die</w:t>
      </w:r>
      <w:r w:rsidR="004B757E" w:rsidRPr="00E32FDC">
        <w:rPr>
          <w:rFonts w:ascii="Arial" w:hAnsi="Arial" w:cs="Arial"/>
          <w:sz w:val="22"/>
          <w:szCs w:val="22"/>
        </w:rPr>
        <w:t xml:space="preserve"> von QUANTRON gegründete</w:t>
      </w:r>
      <w:r w:rsidRPr="00E32FDC">
        <w:rPr>
          <w:rFonts w:ascii="Arial" w:hAnsi="Arial" w:cs="Arial"/>
          <w:sz w:val="22"/>
          <w:szCs w:val="22"/>
        </w:rPr>
        <w:t xml:space="preserve"> Clean Transportation Alliance</w:t>
      </w:r>
      <w:r w:rsidR="006E7F49" w:rsidRPr="00E32FDC">
        <w:rPr>
          <w:rFonts w:ascii="Arial" w:hAnsi="Arial" w:cs="Arial"/>
          <w:sz w:val="22"/>
          <w:szCs w:val="22"/>
        </w:rPr>
        <w:t xml:space="preserve"> (CTA)</w:t>
      </w:r>
      <w:r w:rsidRPr="00E32FDC">
        <w:rPr>
          <w:rFonts w:ascii="Arial" w:hAnsi="Arial" w:cs="Arial"/>
          <w:sz w:val="22"/>
          <w:szCs w:val="22"/>
        </w:rPr>
        <w:t xml:space="preserve"> um ein </w:t>
      </w:r>
      <w:r w:rsidR="2FCC796E" w:rsidRPr="00E32FDC">
        <w:rPr>
          <w:rFonts w:ascii="Arial" w:hAnsi="Arial" w:cs="Arial"/>
          <w:sz w:val="22"/>
          <w:szCs w:val="22"/>
        </w:rPr>
        <w:t>weiteres</w:t>
      </w:r>
      <w:r w:rsidRPr="00E32F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FDC">
        <w:rPr>
          <w:rFonts w:ascii="Arial" w:hAnsi="Arial" w:cs="Arial"/>
          <w:sz w:val="22"/>
          <w:szCs w:val="22"/>
        </w:rPr>
        <w:t>Waste</w:t>
      </w:r>
      <w:proofErr w:type="spellEnd"/>
      <w:r w:rsidRPr="00E32FDC">
        <w:rPr>
          <w:rFonts w:ascii="Arial" w:hAnsi="Arial" w:cs="Arial"/>
          <w:sz w:val="22"/>
          <w:szCs w:val="22"/>
        </w:rPr>
        <w:t>-to-Hydrogen Unternehmen erweitert</w:t>
      </w:r>
    </w:p>
    <w:p w14:paraId="671EA4B7" w14:textId="716599D1" w:rsidR="006E7F49" w:rsidRPr="006E7F49" w:rsidRDefault="006E7F49" w:rsidP="006E7F49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t>Die CTA verfolgt das Ziel, die</w:t>
      </w:r>
      <w:r w:rsidR="02093B97" w:rsidRPr="00E32FDC">
        <w:rPr>
          <w:rFonts w:ascii="Arial" w:hAnsi="Arial" w:cs="Arial"/>
          <w:sz w:val="22"/>
          <w:szCs w:val="22"/>
        </w:rPr>
        <w:t xml:space="preserve"> Transformation der heutigen Diesel-Flotten der Transportindustrie auf </w:t>
      </w:r>
      <w:r w:rsidRPr="00E32FDC">
        <w:rPr>
          <w:rFonts w:ascii="Arial" w:hAnsi="Arial" w:cs="Arial"/>
          <w:sz w:val="22"/>
          <w:szCs w:val="22"/>
        </w:rPr>
        <w:t>emissionsfrei</w:t>
      </w:r>
      <w:r w:rsidR="1B67E6AD" w:rsidRPr="00E32FDC">
        <w:rPr>
          <w:rFonts w:ascii="Arial" w:hAnsi="Arial" w:cs="Arial"/>
          <w:sz w:val="22"/>
          <w:szCs w:val="22"/>
        </w:rPr>
        <w:t>e</w:t>
      </w:r>
      <w:r w:rsidRPr="00E32FDC">
        <w:rPr>
          <w:rFonts w:ascii="Arial" w:hAnsi="Arial" w:cs="Arial"/>
          <w:sz w:val="22"/>
          <w:szCs w:val="22"/>
        </w:rPr>
        <w:t xml:space="preserve"> </w:t>
      </w:r>
      <w:r w:rsidR="53A6357A" w:rsidRPr="00E32FDC">
        <w:rPr>
          <w:rFonts w:ascii="Arial" w:hAnsi="Arial" w:cs="Arial"/>
          <w:sz w:val="22"/>
          <w:szCs w:val="22"/>
        </w:rPr>
        <w:t>Lösungen zu beschleunigen</w:t>
      </w:r>
    </w:p>
    <w:p w14:paraId="23D70A57" w14:textId="71ED8A9F" w:rsidR="008026D0" w:rsidRDefault="008048C1" w:rsidP="00E45914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Pr="00C0084C">
        <w:rPr>
          <w:rFonts w:ascii="Arial" w:hAnsi="Arial" w:cs="Arial"/>
          <w:sz w:val="22"/>
          <w:szCs w:val="22"/>
        </w:rPr>
        <w:t>lueF</w:t>
      </w:r>
      <w:r w:rsidR="00E3626C">
        <w:rPr>
          <w:rFonts w:ascii="Arial" w:hAnsi="Arial" w:cs="Arial"/>
          <w:sz w:val="22"/>
          <w:szCs w:val="22"/>
        </w:rPr>
        <w:t>LUX</w:t>
      </w:r>
      <w:proofErr w:type="spellEnd"/>
      <w:r w:rsidRPr="00C0084C">
        <w:rPr>
          <w:rFonts w:ascii="Arial" w:hAnsi="Arial" w:cs="Arial"/>
          <w:sz w:val="22"/>
          <w:szCs w:val="22"/>
        </w:rPr>
        <w:t xml:space="preserve"> </w:t>
      </w:r>
      <w:r w:rsidR="008026D0" w:rsidRPr="00C0084C">
        <w:rPr>
          <w:rFonts w:ascii="Arial" w:hAnsi="Arial" w:cs="Arial"/>
          <w:sz w:val="22"/>
          <w:szCs w:val="22"/>
        </w:rPr>
        <w:t xml:space="preserve">Energy AG </w:t>
      </w:r>
      <w:r w:rsidR="008026D0">
        <w:rPr>
          <w:rFonts w:ascii="Arial" w:hAnsi="Arial" w:cs="Arial"/>
          <w:sz w:val="22"/>
          <w:szCs w:val="22"/>
        </w:rPr>
        <w:t xml:space="preserve">wandelt </w:t>
      </w:r>
      <w:r w:rsidR="00F206EA">
        <w:rPr>
          <w:rFonts w:ascii="Arial" w:hAnsi="Arial" w:cs="Arial"/>
          <w:sz w:val="22"/>
          <w:szCs w:val="22"/>
        </w:rPr>
        <w:t xml:space="preserve">dezentral </w:t>
      </w:r>
      <w:r w:rsidR="008026D0">
        <w:rPr>
          <w:rFonts w:ascii="Arial" w:hAnsi="Arial" w:cs="Arial"/>
          <w:sz w:val="22"/>
          <w:szCs w:val="22"/>
        </w:rPr>
        <w:t xml:space="preserve">organische </w:t>
      </w:r>
      <w:r w:rsidR="009A7904">
        <w:rPr>
          <w:rFonts w:ascii="Arial" w:hAnsi="Arial" w:cs="Arial"/>
          <w:sz w:val="22"/>
          <w:szCs w:val="22"/>
        </w:rPr>
        <w:t xml:space="preserve">Reststoffe </w:t>
      </w:r>
      <w:r w:rsidR="008026D0">
        <w:rPr>
          <w:rFonts w:ascii="Arial" w:hAnsi="Arial" w:cs="Arial"/>
          <w:sz w:val="22"/>
          <w:szCs w:val="22"/>
        </w:rPr>
        <w:t>in nachhaltige Energiequelle</w:t>
      </w:r>
      <w:r w:rsidR="00F206EA">
        <w:rPr>
          <w:rFonts w:ascii="Arial" w:hAnsi="Arial" w:cs="Arial"/>
          <w:sz w:val="22"/>
          <w:szCs w:val="22"/>
        </w:rPr>
        <w:t>n wie grünen Wasserstoff um</w:t>
      </w:r>
    </w:p>
    <w:p w14:paraId="43B0AF5C" w14:textId="7812900A" w:rsidR="00F206EA" w:rsidRDefault="00A506CE" w:rsidP="00E45914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t xml:space="preserve">QUANTRON </w:t>
      </w:r>
      <w:r w:rsidR="18B1B110" w:rsidRPr="00E32FDC">
        <w:rPr>
          <w:rFonts w:ascii="Arial" w:hAnsi="Arial" w:cs="Arial"/>
          <w:sz w:val="22"/>
          <w:szCs w:val="22"/>
        </w:rPr>
        <w:t>führt</w:t>
      </w:r>
      <w:r w:rsidR="6118E278" w:rsidRPr="00E32FDC">
        <w:rPr>
          <w:rFonts w:ascii="Arial" w:hAnsi="Arial" w:cs="Arial"/>
          <w:sz w:val="22"/>
          <w:szCs w:val="22"/>
        </w:rPr>
        <w:t xml:space="preserve"> </w:t>
      </w:r>
      <w:r w:rsidR="242D3823" w:rsidRPr="00E32FDC">
        <w:rPr>
          <w:rFonts w:ascii="Arial" w:hAnsi="Arial" w:cs="Arial"/>
          <w:sz w:val="22"/>
          <w:szCs w:val="22"/>
        </w:rPr>
        <w:t>d</w:t>
      </w:r>
      <w:r w:rsidR="6118E278" w:rsidRPr="00E32FDC">
        <w:rPr>
          <w:rFonts w:ascii="Arial" w:hAnsi="Arial" w:cs="Arial"/>
          <w:sz w:val="22"/>
          <w:szCs w:val="22"/>
        </w:rPr>
        <w:t xml:space="preserve">as </w:t>
      </w:r>
      <w:r w:rsidR="4BEB5BCA" w:rsidRPr="00E32FDC">
        <w:rPr>
          <w:rFonts w:ascii="Arial" w:hAnsi="Arial" w:cs="Arial"/>
          <w:sz w:val="22"/>
          <w:szCs w:val="22"/>
        </w:rPr>
        <w:t>A</w:t>
      </w:r>
      <w:r w:rsidR="6118E278" w:rsidRPr="00E32FDC">
        <w:rPr>
          <w:rFonts w:ascii="Arial" w:hAnsi="Arial" w:cs="Arial"/>
          <w:sz w:val="22"/>
          <w:szCs w:val="22"/>
        </w:rPr>
        <w:t xml:space="preserve">ngebot an grüner Energie mit dem Abnehmer in Form eines </w:t>
      </w:r>
      <w:r w:rsidR="311BD33E" w:rsidRPr="00E32FDC">
        <w:rPr>
          <w:rFonts w:ascii="Arial" w:hAnsi="Arial" w:cs="Arial"/>
          <w:sz w:val="22"/>
          <w:szCs w:val="22"/>
        </w:rPr>
        <w:t>k</w:t>
      </w:r>
      <w:r w:rsidR="1EC0E7D7" w:rsidRPr="00E32FDC">
        <w:rPr>
          <w:rFonts w:ascii="Arial" w:hAnsi="Arial" w:cs="Arial"/>
          <w:sz w:val="22"/>
          <w:szCs w:val="22"/>
        </w:rPr>
        <w:t xml:space="preserve">limafreundlichen </w:t>
      </w:r>
      <w:r w:rsidR="6118E278" w:rsidRPr="00E32FDC">
        <w:rPr>
          <w:rFonts w:ascii="Arial" w:hAnsi="Arial" w:cs="Arial"/>
          <w:sz w:val="22"/>
          <w:szCs w:val="22"/>
        </w:rPr>
        <w:t>Nutzfahrzeuges zusammen</w:t>
      </w:r>
      <w:r w:rsidR="07C3B9AC" w:rsidRPr="00E32FDC">
        <w:rPr>
          <w:rFonts w:ascii="Arial" w:hAnsi="Arial" w:cs="Arial"/>
          <w:sz w:val="22"/>
          <w:szCs w:val="22"/>
        </w:rPr>
        <w:t xml:space="preserve"> </w:t>
      </w:r>
      <w:r w:rsidR="1746AA51" w:rsidRPr="00E32FDC">
        <w:rPr>
          <w:rFonts w:ascii="Arial" w:hAnsi="Arial" w:cs="Arial"/>
          <w:sz w:val="22"/>
          <w:szCs w:val="22"/>
        </w:rPr>
        <w:t>und bietet dies dem Kunden als innovati</w:t>
      </w:r>
      <w:r w:rsidR="00953991">
        <w:rPr>
          <w:rFonts w:ascii="Arial" w:hAnsi="Arial" w:cs="Arial"/>
          <w:sz w:val="22"/>
          <w:szCs w:val="22"/>
        </w:rPr>
        <w:t>v</w:t>
      </w:r>
      <w:r w:rsidR="1746AA51" w:rsidRPr="00E32FDC">
        <w:rPr>
          <w:rFonts w:ascii="Arial" w:hAnsi="Arial" w:cs="Arial"/>
          <w:sz w:val="22"/>
          <w:szCs w:val="22"/>
        </w:rPr>
        <w:t>es Quantron-</w:t>
      </w:r>
      <w:proofErr w:type="spellStart"/>
      <w:r w:rsidR="1746AA51" w:rsidRPr="00E32FDC">
        <w:rPr>
          <w:rFonts w:ascii="Arial" w:hAnsi="Arial" w:cs="Arial"/>
          <w:sz w:val="22"/>
          <w:szCs w:val="22"/>
        </w:rPr>
        <w:t>as</w:t>
      </w:r>
      <w:proofErr w:type="spellEnd"/>
      <w:r w:rsidR="1746AA51" w:rsidRPr="00E32FDC">
        <w:rPr>
          <w:rFonts w:ascii="Arial" w:hAnsi="Arial" w:cs="Arial"/>
          <w:sz w:val="22"/>
          <w:szCs w:val="22"/>
        </w:rPr>
        <w:t>-a-Service Modell an</w:t>
      </w:r>
    </w:p>
    <w:p w14:paraId="3A7AEF69" w14:textId="77777777" w:rsidR="008C111C" w:rsidRPr="008D2DF3" w:rsidRDefault="008C111C" w:rsidP="008C111C">
      <w:pPr>
        <w:pStyle w:val="01Flietext"/>
        <w:ind w:left="714"/>
        <w:contextualSpacing/>
        <w:rPr>
          <w:rFonts w:ascii="Arial" w:hAnsi="Arial" w:cs="Arial"/>
          <w:sz w:val="22"/>
          <w:szCs w:val="22"/>
        </w:rPr>
      </w:pPr>
    </w:p>
    <w:p w14:paraId="52F4ACC0" w14:textId="261A55AC" w:rsidR="0062470C" w:rsidRDefault="0062470C" w:rsidP="00E32FDC">
      <w:pPr>
        <w:pStyle w:val="01Flietext"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t xml:space="preserve">Die </w:t>
      </w:r>
      <w:hyperlink r:id="rId11">
        <w:r w:rsidRPr="00E32FDC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 w:rsidRPr="00E32FDC">
        <w:rPr>
          <w:rFonts w:ascii="Arial" w:hAnsi="Arial" w:cs="Arial"/>
          <w:sz w:val="22"/>
          <w:szCs w:val="22"/>
        </w:rPr>
        <w:t>, Spezialist für nachhaltigen Personen- und Gütertransport, erweitert ihre Clean Transportation Alliance</w:t>
      </w:r>
      <w:r w:rsidR="0099416A" w:rsidRPr="00E32FDC">
        <w:rPr>
          <w:rFonts w:ascii="Arial" w:hAnsi="Arial" w:cs="Arial"/>
          <w:sz w:val="22"/>
          <w:szCs w:val="22"/>
        </w:rPr>
        <w:t xml:space="preserve"> (CTA)</w:t>
      </w:r>
      <w:r w:rsidRPr="00E32FDC">
        <w:rPr>
          <w:rFonts w:ascii="Arial" w:hAnsi="Arial" w:cs="Arial"/>
          <w:sz w:val="22"/>
          <w:szCs w:val="22"/>
        </w:rPr>
        <w:t xml:space="preserve"> um </w:t>
      </w:r>
      <w:r w:rsidR="00CB1AAA" w:rsidRPr="00E32FD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473E6F" w:rsidRPr="00E32FDC">
        <w:rPr>
          <w:rFonts w:ascii="Arial" w:hAnsi="Arial" w:cs="Arial"/>
          <w:sz w:val="22"/>
          <w:szCs w:val="22"/>
        </w:rPr>
        <w:t>blueFLUX</w:t>
      </w:r>
      <w:proofErr w:type="spellEnd"/>
      <w:r w:rsidR="00473E6F" w:rsidRPr="00E32FDC">
        <w:rPr>
          <w:rFonts w:ascii="Arial" w:hAnsi="Arial" w:cs="Arial"/>
          <w:sz w:val="22"/>
          <w:szCs w:val="22"/>
        </w:rPr>
        <w:t xml:space="preserve"> Energy</w:t>
      </w:r>
      <w:r w:rsidR="00CB1AAA" w:rsidRPr="00E32FDC">
        <w:rPr>
          <w:rFonts w:ascii="Arial" w:hAnsi="Arial" w:cs="Arial"/>
          <w:sz w:val="22"/>
          <w:szCs w:val="22"/>
        </w:rPr>
        <w:t xml:space="preserve"> AG</w:t>
      </w:r>
      <w:r w:rsidR="00473E6F" w:rsidRPr="00E32FDC">
        <w:rPr>
          <w:rFonts w:ascii="Arial" w:hAnsi="Arial" w:cs="Arial"/>
          <w:sz w:val="22"/>
          <w:szCs w:val="22"/>
        </w:rPr>
        <w:t xml:space="preserve">, ein deutsches Unternehmen </w:t>
      </w:r>
      <w:r w:rsidR="4E606480" w:rsidRPr="00E32FDC">
        <w:rPr>
          <w:rFonts w:ascii="Arial" w:hAnsi="Arial" w:cs="Arial"/>
          <w:sz w:val="22"/>
          <w:szCs w:val="22"/>
        </w:rPr>
        <w:t xml:space="preserve">welches </w:t>
      </w:r>
      <w:proofErr w:type="spellStart"/>
      <w:r w:rsidR="00473E6F" w:rsidRPr="00E32FDC">
        <w:rPr>
          <w:rFonts w:ascii="Arial" w:hAnsi="Arial" w:cs="Arial"/>
          <w:sz w:val="22"/>
          <w:szCs w:val="22"/>
        </w:rPr>
        <w:t>Waste</w:t>
      </w:r>
      <w:proofErr w:type="spellEnd"/>
      <w:r w:rsidR="00473E6F" w:rsidRPr="00E32FDC">
        <w:rPr>
          <w:rFonts w:ascii="Arial" w:hAnsi="Arial" w:cs="Arial"/>
          <w:sz w:val="22"/>
          <w:szCs w:val="22"/>
        </w:rPr>
        <w:t>-to-Hydrogen</w:t>
      </w:r>
      <w:r w:rsidR="00B25E92" w:rsidRPr="00E32FDC">
        <w:rPr>
          <w:rFonts w:ascii="Arial" w:hAnsi="Arial" w:cs="Arial"/>
          <w:sz w:val="22"/>
          <w:szCs w:val="22"/>
        </w:rPr>
        <w:t xml:space="preserve"> </w:t>
      </w:r>
      <w:r w:rsidR="00473E6F" w:rsidRPr="00E32FDC">
        <w:rPr>
          <w:rFonts w:ascii="Arial" w:hAnsi="Arial" w:cs="Arial"/>
          <w:sz w:val="22"/>
          <w:szCs w:val="22"/>
        </w:rPr>
        <w:t>Technologie</w:t>
      </w:r>
      <w:r w:rsidR="67A44E4C" w:rsidRPr="00E32FDC">
        <w:rPr>
          <w:rFonts w:ascii="Arial" w:hAnsi="Arial" w:cs="Arial"/>
          <w:sz w:val="22"/>
          <w:szCs w:val="22"/>
        </w:rPr>
        <w:t xml:space="preserve"> entwickelt</w:t>
      </w:r>
      <w:r w:rsidR="00473E6F" w:rsidRPr="00E32FDC">
        <w:rPr>
          <w:rFonts w:ascii="Arial" w:hAnsi="Arial" w:cs="Arial"/>
          <w:sz w:val="22"/>
          <w:szCs w:val="22"/>
        </w:rPr>
        <w:t xml:space="preserve">. </w:t>
      </w:r>
      <w:r w:rsidR="0099416A" w:rsidRPr="00E32FDC">
        <w:rPr>
          <w:rFonts w:ascii="Arial" w:hAnsi="Arial" w:cs="Arial"/>
          <w:sz w:val="22"/>
          <w:szCs w:val="22"/>
        </w:rPr>
        <w:t xml:space="preserve">Die CTA wurde von QUANTRON ins Leben gerufen, um </w:t>
      </w:r>
      <w:r w:rsidR="4E8EF8E6" w:rsidRPr="00E32FDC">
        <w:rPr>
          <w:rFonts w:ascii="Arial" w:hAnsi="Arial" w:cs="Arial"/>
          <w:sz w:val="22"/>
          <w:szCs w:val="22"/>
        </w:rPr>
        <w:t>das innovative Quantron-</w:t>
      </w:r>
      <w:proofErr w:type="spellStart"/>
      <w:r w:rsidR="4E8EF8E6" w:rsidRPr="00E32FDC">
        <w:rPr>
          <w:rFonts w:ascii="Arial" w:hAnsi="Arial" w:cs="Arial"/>
          <w:sz w:val="22"/>
          <w:szCs w:val="22"/>
        </w:rPr>
        <w:t>as</w:t>
      </w:r>
      <w:proofErr w:type="spellEnd"/>
      <w:r w:rsidR="4E8EF8E6" w:rsidRPr="00E32FDC">
        <w:rPr>
          <w:rFonts w:ascii="Arial" w:hAnsi="Arial" w:cs="Arial"/>
          <w:sz w:val="22"/>
          <w:szCs w:val="22"/>
        </w:rPr>
        <w:t xml:space="preserve">-a-Service Modell zu ermöglichen, bei dem der </w:t>
      </w:r>
      <w:r w:rsidR="3C6399FE" w:rsidRPr="00E32FDC">
        <w:rPr>
          <w:rFonts w:ascii="Arial" w:hAnsi="Arial" w:cs="Arial"/>
          <w:sz w:val="22"/>
          <w:szCs w:val="22"/>
        </w:rPr>
        <w:t xml:space="preserve">Kunde alles aus einer Hand erhält </w:t>
      </w:r>
      <w:r w:rsidR="004776C4">
        <w:rPr>
          <w:rFonts w:ascii="Arial" w:hAnsi="Arial" w:cs="Arial"/>
          <w:sz w:val="22"/>
          <w:szCs w:val="22"/>
        </w:rPr>
        <w:t>–</w:t>
      </w:r>
      <w:r w:rsidR="3C6399FE" w:rsidRPr="00E32FDC">
        <w:rPr>
          <w:rFonts w:ascii="Arial" w:hAnsi="Arial" w:cs="Arial"/>
          <w:sz w:val="22"/>
          <w:szCs w:val="22"/>
        </w:rPr>
        <w:t xml:space="preserve"> grüne</w:t>
      </w:r>
      <w:r w:rsidR="45F65F07" w:rsidRPr="00E32FDC">
        <w:rPr>
          <w:rFonts w:ascii="Arial" w:hAnsi="Arial" w:cs="Arial"/>
          <w:sz w:val="22"/>
          <w:szCs w:val="22"/>
        </w:rPr>
        <w:t xml:space="preserve"> </w:t>
      </w:r>
      <w:r w:rsidR="3C6399FE" w:rsidRPr="00E32FDC">
        <w:rPr>
          <w:rFonts w:ascii="Arial" w:hAnsi="Arial" w:cs="Arial"/>
          <w:sz w:val="22"/>
          <w:szCs w:val="22"/>
        </w:rPr>
        <w:t>Energie,</w:t>
      </w:r>
      <w:r w:rsidR="74F8AE48" w:rsidRPr="00E32FDC">
        <w:rPr>
          <w:rFonts w:ascii="Arial" w:hAnsi="Arial" w:cs="Arial"/>
          <w:sz w:val="22"/>
          <w:szCs w:val="22"/>
        </w:rPr>
        <w:t xml:space="preserve"> </w:t>
      </w:r>
      <w:r w:rsidR="3C6399FE" w:rsidRPr="00E32FDC">
        <w:rPr>
          <w:rFonts w:ascii="Arial" w:hAnsi="Arial" w:cs="Arial"/>
          <w:sz w:val="22"/>
          <w:szCs w:val="22"/>
        </w:rPr>
        <w:t>die erforderliche Infrastruktur</w:t>
      </w:r>
      <w:r w:rsidR="6813E8FE" w:rsidRPr="00E32FDC">
        <w:rPr>
          <w:rFonts w:ascii="Arial" w:hAnsi="Arial" w:cs="Arial"/>
          <w:sz w:val="22"/>
          <w:szCs w:val="22"/>
        </w:rPr>
        <w:t>,</w:t>
      </w:r>
      <w:r w:rsidR="4399BC1A" w:rsidRPr="00E32FDC">
        <w:rPr>
          <w:rFonts w:ascii="Arial" w:hAnsi="Arial" w:cs="Arial"/>
          <w:sz w:val="22"/>
          <w:szCs w:val="22"/>
        </w:rPr>
        <w:t xml:space="preserve"> </w:t>
      </w:r>
      <w:r w:rsidR="5CA2F895" w:rsidRPr="00E32FDC">
        <w:rPr>
          <w:rFonts w:ascii="Arial" w:hAnsi="Arial" w:cs="Arial"/>
          <w:sz w:val="22"/>
          <w:szCs w:val="22"/>
        </w:rPr>
        <w:t>sowie</w:t>
      </w:r>
      <w:r w:rsidR="3C6399FE" w:rsidRPr="00E32FDC">
        <w:rPr>
          <w:rFonts w:ascii="Arial" w:hAnsi="Arial" w:cs="Arial"/>
          <w:sz w:val="22"/>
          <w:szCs w:val="22"/>
        </w:rPr>
        <w:t xml:space="preserve"> Null</w:t>
      </w:r>
      <w:r w:rsidR="0D9F1E4A" w:rsidRPr="00E32FDC">
        <w:rPr>
          <w:rFonts w:ascii="Arial" w:hAnsi="Arial" w:cs="Arial"/>
          <w:sz w:val="22"/>
          <w:szCs w:val="22"/>
        </w:rPr>
        <w:t>-</w:t>
      </w:r>
      <w:r w:rsidR="3C6399FE" w:rsidRPr="00E32FDC">
        <w:rPr>
          <w:rFonts w:ascii="Arial" w:hAnsi="Arial" w:cs="Arial"/>
          <w:sz w:val="22"/>
          <w:szCs w:val="22"/>
        </w:rPr>
        <w:t>Emissions</w:t>
      </w:r>
      <w:r w:rsidR="009A3816">
        <w:rPr>
          <w:rFonts w:ascii="Arial" w:hAnsi="Arial" w:cs="Arial"/>
          <w:sz w:val="22"/>
          <w:szCs w:val="22"/>
        </w:rPr>
        <w:t>-</w:t>
      </w:r>
      <w:r w:rsidR="3C6399FE" w:rsidRPr="00E32FDC">
        <w:rPr>
          <w:rFonts w:ascii="Arial" w:hAnsi="Arial" w:cs="Arial"/>
          <w:sz w:val="22"/>
          <w:szCs w:val="22"/>
        </w:rPr>
        <w:t>Fahr</w:t>
      </w:r>
      <w:r w:rsidR="53F9BCCA" w:rsidRPr="00E32FDC">
        <w:rPr>
          <w:rFonts w:ascii="Arial" w:hAnsi="Arial" w:cs="Arial"/>
          <w:sz w:val="22"/>
          <w:szCs w:val="22"/>
        </w:rPr>
        <w:t>zeuge</w:t>
      </w:r>
      <w:r w:rsidR="4F8215FA" w:rsidRPr="00E32FDC">
        <w:rPr>
          <w:rFonts w:ascii="Arial" w:hAnsi="Arial" w:cs="Arial"/>
          <w:sz w:val="22"/>
          <w:szCs w:val="22"/>
        </w:rPr>
        <w:t xml:space="preserve"> </w:t>
      </w:r>
      <w:r w:rsidR="410EC571" w:rsidRPr="00E32FDC">
        <w:rPr>
          <w:rFonts w:ascii="Arial" w:hAnsi="Arial" w:cs="Arial"/>
          <w:sz w:val="22"/>
          <w:szCs w:val="22"/>
        </w:rPr>
        <w:t>und Versicherungslösungen</w:t>
      </w:r>
      <w:r w:rsidR="4C5CF56B" w:rsidRPr="00E32FDC">
        <w:rPr>
          <w:rFonts w:ascii="Arial" w:hAnsi="Arial" w:cs="Arial"/>
          <w:sz w:val="22"/>
          <w:szCs w:val="22"/>
        </w:rPr>
        <w:t>. Mit diesem Angebot erleichtert Q</w:t>
      </w:r>
      <w:r w:rsidR="049B4439" w:rsidRPr="00E32FDC">
        <w:rPr>
          <w:rFonts w:ascii="Arial" w:hAnsi="Arial" w:cs="Arial"/>
          <w:sz w:val="22"/>
          <w:szCs w:val="22"/>
        </w:rPr>
        <w:t>UANTRON</w:t>
      </w:r>
      <w:r w:rsidR="4C5CF56B" w:rsidRPr="00E32FDC">
        <w:rPr>
          <w:rFonts w:ascii="Arial" w:hAnsi="Arial" w:cs="Arial"/>
          <w:sz w:val="22"/>
          <w:szCs w:val="22"/>
        </w:rPr>
        <w:t xml:space="preserve"> den Technologiewechsel zu klimafreundlichen </w:t>
      </w:r>
      <w:r w:rsidR="174AD543" w:rsidRPr="00E32FDC">
        <w:rPr>
          <w:rFonts w:ascii="Arial" w:hAnsi="Arial" w:cs="Arial"/>
          <w:sz w:val="22"/>
          <w:szCs w:val="22"/>
        </w:rPr>
        <w:t>Fahrzeugen, die entweder grünen Strom oder grünen Wasserstoff als Energieträger benötigen.</w:t>
      </w:r>
    </w:p>
    <w:p w14:paraId="64A09962" w14:textId="60C3370A" w:rsidR="004D5710" w:rsidRDefault="008048C1" w:rsidP="00E45914">
      <w:pPr>
        <w:pStyle w:val="01Flie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Pr="00C0084C">
        <w:rPr>
          <w:rFonts w:ascii="Arial" w:hAnsi="Arial" w:cs="Arial"/>
          <w:sz w:val="22"/>
          <w:szCs w:val="22"/>
        </w:rPr>
        <w:t>lueF</w:t>
      </w:r>
      <w:r w:rsidR="00E3626C">
        <w:rPr>
          <w:rFonts w:ascii="Arial" w:hAnsi="Arial" w:cs="Arial"/>
          <w:sz w:val="22"/>
          <w:szCs w:val="22"/>
        </w:rPr>
        <w:t>LUX</w:t>
      </w:r>
      <w:proofErr w:type="spellEnd"/>
      <w:r w:rsidR="00E3626C">
        <w:rPr>
          <w:rFonts w:ascii="Arial" w:hAnsi="Arial" w:cs="Arial"/>
          <w:sz w:val="22"/>
          <w:szCs w:val="22"/>
        </w:rPr>
        <w:t xml:space="preserve"> </w:t>
      </w:r>
      <w:r w:rsidR="000247BB" w:rsidRPr="00C0084C">
        <w:rPr>
          <w:rFonts w:ascii="Arial" w:hAnsi="Arial" w:cs="Arial"/>
          <w:sz w:val="22"/>
          <w:szCs w:val="22"/>
        </w:rPr>
        <w:t xml:space="preserve">Energy hat sich auf die Umwandlung von organischen </w:t>
      </w:r>
      <w:r w:rsidR="009A7904">
        <w:rPr>
          <w:rFonts w:ascii="Arial" w:hAnsi="Arial" w:cs="Arial"/>
          <w:sz w:val="22"/>
          <w:szCs w:val="22"/>
        </w:rPr>
        <w:t>Reststoffen</w:t>
      </w:r>
      <w:r w:rsidR="009A7904" w:rsidRPr="00C0084C">
        <w:rPr>
          <w:rFonts w:ascii="Arial" w:hAnsi="Arial" w:cs="Arial"/>
          <w:sz w:val="22"/>
          <w:szCs w:val="22"/>
        </w:rPr>
        <w:t xml:space="preserve"> </w:t>
      </w:r>
      <w:r w:rsidR="000247BB" w:rsidRPr="00C0084C">
        <w:rPr>
          <w:rFonts w:ascii="Arial" w:hAnsi="Arial" w:cs="Arial"/>
          <w:sz w:val="22"/>
          <w:szCs w:val="22"/>
        </w:rPr>
        <w:t xml:space="preserve">in grünen Wasserstoff und andere nachhaltige Energiequellen spezialisiert. Die </w:t>
      </w:r>
      <w:r w:rsidR="007131A6">
        <w:rPr>
          <w:rFonts w:ascii="Arial" w:hAnsi="Arial" w:cs="Arial"/>
          <w:sz w:val="22"/>
          <w:szCs w:val="22"/>
        </w:rPr>
        <w:t xml:space="preserve">innovative </w:t>
      </w:r>
      <w:r w:rsidR="000247BB" w:rsidRPr="00C0084C">
        <w:rPr>
          <w:rFonts w:ascii="Arial" w:hAnsi="Arial" w:cs="Arial"/>
          <w:sz w:val="22"/>
          <w:szCs w:val="22"/>
        </w:rPr>
        <w:t xml:space="preserve">Technologie des Unternehmens verarbeitet effizient </w:t>
      </w:r>
      <w:r w:rsidR="001A6BD8">
        <w:rPr>
          <w:rFonts w:ascii="Arial" w:hAnsi="Arial" w:cs="Arial"/>
          <w:sz w:val="22"/>
          <w:szCs w:val="22"/>
        </w:rPr>
        <w:t xml:space="preserve">organische </w:t>
      </w:r>
      <w:r>
        <w:rPr>
          <w:rFonts w:ascii="Arial" w:hAnsi="Arial" w:cs="Arial"/>
          <w:sz w:val="22"/>
          <w:szCs w:val="22"/>
        </w:rPr>
        <w:t>Reststoffe</w:t>
      </w:r>
      <w:r w:rsidRPr="00C0084C">
        <w:rPr>
          <w:rFonts w:ascii="Arial" w:hAnsi="Arial" w:cs="Arial"/>
          <w:sz w:val="22"/>
          <w:szCs w:val="22"/>
        </w:rPr>
        <w:t xml:space="preserve"> </w:t>
      </w:r>
      <w:r w:rsidR="000247BB" w:rsidRPr="00C0084C">
        <w:rPr>
          <w:rFonts w:ascii="Arial" w:hAnsi="Arial" w:cs="Arial"/>
          <w:sz w:val="22"/>
          <w:szCs w:val="22"/>
        </w:rPr>
        <w:t xml:space="preserve">aus Landwirtschaft, Kommunen und Industrie, </w:t>
      </w:r>
      <w:r w:rsidR="007131A6">
        <w:rPr>
          <w:rFonts w:ascii="Arial" w:hAnsi="Arial" w:cs="Arial"/>
          <w:sz w:val="22"/>
          <w:szCs w:val="22"/>
        </w:rPr>
        <w:t>was</w:t>
      </w:r>
      <w:r w:rsidR="000247BB" w:rsidRPr="00C0084C">
        <w:rPr>
          <w:rFonts w:ascii="Arial" w:hAnsi="Arial" w:cs="Arial"/>
          <w:sz w:val="22"/>
          <w:szCs w:val="22"/>
        </w:rPr>
        <w:t xml:space="preserve"> gleichzeitig </w:t>
      </w:r>
      <w:r w:rsidR="006357D6">
        <w:rPr>
          <w:rFonts w:ascii="Arial" w:hAnsi="Arial" w:cs="Arial"/>
          <w:sz w:val="22"/>
          <w:szCs w:val="22"/>
        </w:rPr>
        <w:t>das</w:t>
      </w:r>
      <w:r w:rsidR="000247BB" w:rsidRPr="00C0084C">
        <w:rPr>
          <w:rFonts w:ascii="Arial" w:hAnsi="Arial" w:cs="Arial"/>
          <w:sz w:val="22"/>
          <w:szCs w:val="22"/>
        </w:rPr>
        <w:t xml:space="preserve"> </w:t>
      </w:r>
      <w:r w:rsidR="009A7904">
        <w:rPr>
          <w:rFonts w:ascii="Arial" w:hAnsi="Arial" w:cs="Arial"/>
          <w:sz w:val="22"/>
          <w:szCs w:val="22"/>
        </w:rPr>
        <w:t xml:space="preserve">damit verbundene </w:t>
      </w:r>
      <w:r w:rsidR="000247BB" w:rsidRPr="00C0084C">
        <w:rPr>
          <w:rFonts w:ascii="Arial" w:hAnsi="Arial" w:cs="Arial"/>
          <w:sz w:val="22"/>
          <w:szCs w:val="22"/>
        </w:rPr>
        <w:t>Entsorgungsproblem</w:t>
      </w:r>
      <w:r w:rsidR="006357D6">
        <w:rPr>
          <w:rFonts w:ascii="Arial" w:hAnsi="Arial" w:cs="Arial"/>
          <w:sz w:val="22"/>
          <w:szCs w:val="22"/>
        </w:rPr>
        <w:t xml:space="preserve"> </w:t>
      </w:r>
      <w:r w:rsidR="009A7904">
        <w:rPr>
          <w:rFonts w:ascii="Arial" w:hAnsi="Arial" w:cs="Arial"/>
          <w:sz w:val="22"/>
          <w:szCs w:val="22"/>
        </w:rPr>
        <w:t xml:space="preserve">dieser Stoffströme </w:t>
      </w:r>
      <w:r w:rsidR="000247BB" w:rsidRPr="00C0084C">
        <w:rPr>
          <w:rFonts w:ascii="Arial" w:hAnsi="Arial" w:cs="Arial"/>
          <w:sz w:val="22"/>
          <w:szCs w:val="22"/>
        </w:rPr>
        <w:t>lös</w:t>
      </w:r>
      <w:r w:rsidR="007131A6">
        <w:rPr>
          <w:rFonts w:ascii="Arial" w:hAnsi="Arial" w:cs="Arial"/>
          <w:sz w:val="22"/>
          <w:szCs w:val="22"/>
        </w:rPr>
        <w:t>t</w:t>
      </w:r>
      <w:r w:rsidR="000247BB" w:rsidRPr="00C0084C">
        <w:rPr>
          <w:rFonts w:ascii="Arial" w:hAnsi="Arial" w:cs="Arial"/>
          <w:sz w:val="22"/>
          <w:szCs w:val="22"/>
        </w:rPr>
        <w:t xml:space="preserve">. </w:t>
      </w:r>
      <w:r w:rsidR="00132639">
        <w:rPr>
          <w:rFonts w:ascii="Arial" w:hAnsi="Arial" w:cs="Arial"/>
          <w:sz w:val="22"/>
          <w:szCs w:val="22"/>
        </w:rPr>
        <w:t>Dank modularem Aufbau</w:t>
      </w:r>
      <w:r w:rsidR="003D26FC">
        <w:rPr>
          <w:rFonts w:ascii="Arial" w:hAnsi="Arial" w:cs="Arial"/>
          <w:sz w:val="22"/>
          <w:szCs w:val="22"/>
        </w:rPr>
        <w:t xml:space="preserve"> </w:t>
      </w:r>
      <w:r w:rsidR="003B4A14">
        <w:rPr>
          <w:rFonts w:ascii="Arial" w:hAnsi="Arial" w:cs="Arial"/>
          <w:sz w:val="22"/>
          <w:szCs w:val="22"/>
        </w:rPr>
        <w:t>erfolgt</w:t>
      </w:r>
      <w:r w:rsidR="003D26FC">
        <w:rPr>
          <w:rFonts w:ascii="Arial" w:hAnsi="Arial" w:cs="Arial"/>
          <w:sz w:val="22"/>
          <w:szCs w:val="22"/>
        </w:rPr>
        <w:t xml:space="preserve"> die Herstellung </w:t>
      </w:r>
      <w:r w:rsidR="003B4A14">
        <w:rPr>
          <w:rFonts w:ascii="Arial" w:hAnsi="Arial" w:cs="Arial"/>
          <w:sz w:val="22"/>
          <w:szCs w:val="22"/>
        </w:rPr>
        <w:t>dezentral</w:t>
      </w:r>
      <w:r w:rsidR="00344016">
        <w:rPr>
          <w:rFonts w:ascii="Arial" w:hAnsi="Arial" w:cs="Arial"/>
          <w:sz w:val="22"/>
          <w:szCs w:val="22"/>
        </w:rPr>
        <w:t xml:space="preserve">, um </w:t>
      </w:r>
      <w:r w:rsidR="00450FEC">
        <w:rPr>
          <w:rFonts w:ascii="Arial" w:hAnsi="Arial" w:cs="Arial"/>
          <w:sz w:val="22"/>
          <w:szCs w:val="22"/>
        </w:rPr>
        <w:t xml:space="preserve">aus </w:t>
      </w:r>
      <w:r w:rsidR="00FA39EE">
        <w:rPr>
          <w:rFonts w:ascii="Arial" w:hAnsi="Arial" w:cs="Arial"/>
          <w:sz w:val="22"/>
          <w:szCs w:val="22"/>
        </w:rPr>
        <w:t>lokalen</w:t>
      </w:r>
      <w:r w:rsidR="009A7904">
        <w:rPr>
          <w:rFonts w:ascii="Arial" w:hAnsi="Arial" w:cs="Arial"/>
          <w:sz w:val="22"/>
          <w:szCs w:val="22"/>
        </w:rPr>
        <w:t xml:space="preserve"> vorhandenen</w:t>
      </w:r>
      <w:r w:rsidR="00450FEC">
        <w:rPr>
          <w:rFonts w:ascii="Arial" w:hAnsi="Arial" w:cs="Arial"/>
          <w:sz w:val="22"/>
          <w:szCs w:val="22"/>
        </w:rPr>
        <w:t xml:space="preserve"> Materialen</w:t>
      </w:r>
      <w:r>
        <w:rPr>
          <w:rFonts w:ascii="Arial" w:hAnsi="Arial" w:cs="Arial"/>
          <w:sz w:val="22"/>
          <w:szCs w:val="22"/>
        </w:rPr>
        <w:t xml:space="preserve"> wie z.B. kommunalem Klärschlamm, Biomüll, Gärrest, Stallmist, Gülle, Baum- &amp; Grünschnitt</w:t>
      </w:r>
      <w:r w:rsidR="00450FEC">
        <w:rPr>
          <w:rFonts w:ascii="Arial" w:hAnsi="Arial" w:cs="Arial"/>
          <w:sz w:val="22"/>
          <w:szCs w:val="22"/>
        </w:rPr>
        <w:t xml:space="preserve"> </w:t>
      </w:r>
      <w:r w:rsidR="000247BB" w:rsidRPr="00C0084C">
        <w:rPr>
          <w:rFonts w:ascii="Arial" w:hAnsi="Arial" w:cs="Arial"/>
          <w:sz w:val="22"/>
          <w:szCs w:val="22"/>
        </w:rPr>
        <w:t>Energie</w:t>
      </w:r>
      <w:r w:rsidR="00FA39EE">
        <w:rPr>
          <w:rFonts w:ascii="Arial" w:hAnsi="Arial" w:cs="Arial"/>
          <w:sz w:val="22"/>
          <w:szCs w:val="22"/>
        </w:rPr>
        <w:t xml:space="preserve"> für die Region</w:t>
      </w:r>
      <w:r w:rsidR="000247BB" w:rsidRPr="00C0084C">
        <w:rPr>
          <w:rFonts w:ascii="Arial" w:hAnsi="Arial" w:cs="Arial"/>
          <w:sz w:val="22"/>
          <w:szCs w:val="22"/>
        </w:rPr>
        <w:t xml:space="preserve"> zu erzeugen</w:t>
      </w:r>
      <w:r w:rsidR="00D949B6">
        <w:rPr>
          <w:rFonts w:ascii="Arial" w:hAnsi="Arial" w:cs="Arial"/>
          <w:sz w:val="22"/>
          <w:szCs w:val="22"/>
        </w:rPr>
        <w:t>.</w:t>
      </w:r>
    </w:p>
    <w:p w14:paraId="7AFB4A39" w14:textId="6B44D4EA" w:rsidR="007C4E9D" w:rsidRPr="007C4E9D" w:rsidRDefault="007C4E9D" w:rsidP="007C4E9D">
      <w:pPr>
        <w:pStyle w:val="01Flietext"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lastRenderedPageBreak/>
        <w:t xml:space="preserve">Die Quantron AG plant, von </w:t>
      </w:r>
      <w:proofErr w:type="spellStart"/>
      <w:r w:rsidRPr="00E32FDC">
        <w:rPr>
          <w:rFonts w:ascii="Arial" w:hAnsi="Arial" w:cs="Arial"/>
          <w:sz w:val="22"/>
          <w:szCs w:val="22"/>
        </w:rPr>
        <w:t>blueFLUX</w:t>
      </w:r>
      <w:proofErr w:type="spellEnd"/>
      <w:r w:rsidRPr="00E32FDC">
        <w:rPr>
          <w:rFonts w:ascii="Arial" w:hAnsi="Arial" w:cs="Arial"/>
          <w:sz w:val="22"/>
          <w:szCs w:val="22"/>
        </w:rPr>
        <w:t xml:space="preserve"> Energy produzierte</w:t>
      </w:r>
      <w:r w:rsidR="3B24914F" w:rsidRPr="00E32FDC">
        <w:rPr>
          <w:rFonts w:ascii="Arial" w:hAnsi="Arial" w:cs="Arial"/>
          <w:sz w:val="22"/>
          <w:szCs w:val="22"/>
        </w:rPr>
        <w:t>n</w:t>
      </w:r>
      <w:r w:rsidRPr="00E32FDC">
        <w:rPr>
          <w:rFonts w:ascii="Arial" w:hAnsi="Arial" w:cs="Arial"/>
          <w:sz w:val="22"/>
          <w:szCs w:val="22"/>
        </w:rPr>
        <w:t xml:space="preserve"> Wasserstoff zu beziehen und in ihr Quantron-</w:t>
      </w:r>
      <w:proofErr w:type="spellStart"/>
      <w:r w:rsidRPr="00E32FDC">
        <w:rPr>
          <w:rFonts w:ascii="Arial" w:hAnsi="Arial" w:cs="Arial"/>
          <w:sz w:val="22"/>
          <w:szCs w:val="22"/>
        </w:rPr>
        <w:t>as</w:t>
      </w:r>
      <w:proofErr w:type="spellEnd"/>
      <w:r w:rsidRPr="00E32FDC">
        <w:rPr>
          <w:rFonts w:ascii="Arial" w:hAnsi="Arial" w:cs="Arial"/>
          <w:sz w:val="22"/>
          <w:szCs w:val="22"/>
        </w:rPr>
        <w:t>-a-Service Ökosystem einzubinden. QUANTRON</w:t>
      </w:r>
      <w:r w:rsidR="0BF4D569" w:rsidRPr="00E32FDC">
        <w:rPr>
          <w:rFonts w:ascii="Arial" w:hAnsi="Arial" w:cs="Arial"/>
          <w:sz w:val="22"/>
          <w:szCs w:val="22"/>
        </w:rPr>
        <w:t xml:space="preserve"> verfolgt den Aufbau einer dezentralen Wasserstoff</w:t>
      </w:r>
      <w:r w:rsidR="006C0998" w:rsidRPr="00E32FDC">
        <w:rPr>
          <w:rFonts w:ascii="Arial" w:hAnsi="Arial" w:cs="Arial"/>
          <w:sz w:val="22"/>
          <w:szCs w:val="22"/>
        </w:rPr>
        <w:t xml:space="preserve">infrastruktur </w:t>
      </w:r>
      <w:r w:rsidR="000E0FB0" w:rsidRPr="00E32FDC">
        <w:rPr>
          <w:rFonts w:ascii="Arial" w:hAnsi="Arial" w:cs="Arial"/>
          <w:sz w:val="22"/>
          <w:szCs w:val="22"/>
        </w:rPr>
        <w:t xml:space="preserve">für den Betrieb </w:t>
      </w:r>
      <w:r w:rsidR="001319C3" w:rsidRPr="00E32FDC">
        <w:rPr>
          <w:rFonts w:ascii="Arial" w:hAnsi="Arial" w:cs="Arial"/>
          <w:sz w:val="22"/>
          <w:szCs w:val="22"/>
        </w:rPr>
        <w:t>emissionsfreier</w:t>
      </w:r>
      <w:r w:rsidR="000E0FB0" w:rsidRPr="00E32FDC">
        <w:rPr>
          <w:rFonts w:ascii="Arial" w:hAnsi="Arial" w:cs="Arial"/>
          <w:sz w:val="22"/>
          <w:szCs w:val="22"/>
        </w:rPr>
        <w:t xml:space="preserve"> Nutzfahrzeuge</w:t>
      </w:r>
      <w:r w:rsidR="0075497E" w:rsidRPr="00E32FDC">
        <w:rPr>
          <w:rFonts w:ascii="Arial" w:hAnsi="Arial" w:cs="Arial"/>
          <w:sz w:val="22"/>
          <w:szCs w:val="22"/>
        </w:rPr>
        <w:t xml:space="preserve"> </w:t>
      </w:r>
      <w:r w:rsidR="2BA12EEA" w:rsidRPr="00E32FDC">
        <w:rPr>
          <w:rFonts w:ascii="Arial" w:hAnsi="Arial" w:cs="Arial"/>
          <w:sz w:val="22"/>
          <w:szCs w:val="22"/>
        </w:rPr>
        <w:t xml:space="preserve">durch </w:t>
      </w:r>
      <w:r w:rsidR="0075497E" w:rsidRPr="00E32FDC">
        <w:rPr>
          <w:rFonts w:ascii="Arial" w:hAnsi="Arial" w:cs="Arial"/>
          <w:sz w:val="22"/>
          <w:szCs w:val="22"/>
        </w:rPr>
        <w:t>seine Kunden</w:t>
      </w:r>
      <w:r w:rsidR="20C60C71" w:rsidRPr="00E32FDC">
        <w:rPr>
          <w:rFonts w:ascii="Arial" w:hAnsi="Arial" w:cs="Arial"/>
          <w:sz w:val="22"/>
          <w:szCs w:val="22"/>
        </w:rPr>
        <w:t xml:space="preserve">. Eine </w:t>
      </w:r>
      <w:proofErr w:type="spellStart"/>
      <w:r w:rsidR="20C60C71" w:rsidRPr="00E32FDC">
        <w:rPr>
          <w:rFonts w:ascii="Arial" w:hAnsi="Arial" w:cs="Arial"/>
          <w:sz w:val="22"/>
          <w:szCs w:val="22"/>
        </w:rPr>
        <w:t>blueFLUX</w:t>
      </w:r>
      <w:proofErr w:type="spellEnd"/>
      <w:r w:rsidR="20C60C71" w:rsidRPr="00E32FDC">
        <w:rPr>
          <w:rFonts w:ascii="Arial" w:hAnsi="Arial" w:cs="Arial"/>
          <w:sz w:val="22"/>
          <w:szCs w:val="22"/>
        </w:rPr>
        <w:t xml:space="preserve"> Energy Anlage kann den Wasserstoff für eine geografisch nahe</w:t>
      </w:r>
      <w:r w:rsidR="3AA78F8B" w:rsidRPr="00E32FDC">
        <w:rPr>
          <w:rFonts w:ascii="Arial" w:hAnsi="Arial" w:cs="Arial"/>
          <w:sz w:val="22"/>
          <w:szCs w:val="22"/>
        </w:rPr>
        <w:t xml:space="preserve"> gelegene Wasserstofftankstelle liefern und damit die Versorgung in Regionen ohne Aussicht au</w:t>
      </w:r>
      <w:r w:rsidR="7F2ED8FE" w:rsidRPr="00E32FDC">
        <w:rPr>
          <w:rFonts w:ascii="Arial" w:hAnsi="Arial" w:cs="Arial"/>
          <w:sz w:val="22"/>
          <w:szCs w:val="22"/>
        </w:rPr>
        <w:t>f</w:t>
      </w:r>
      <w:r w:rsidR="3AA78F8B" w:rsidRPr="00E32FDC">
        <w:rPr>
          <w:rFonts w:ascii="Arial" w:hAnsi="Arial" w:cs="Arial"/>
          <w:sz w:val="22"/>
          <w:szCs w:val="22"/>
        </w:rPr>
        <w:t xml:space="preserve"> Anschluss an das</w:t>
      </w:r>
      <w:r w:rsidR="0E1577F4" w:rsidRPr="00E32FDC">
        <w:rPr>
          <w:rFonts w:ascii="Arial" w:hAnsi="Arial" w:cs="Arial"/>
          <w:sz w:val="22"/>
          <w:szCs w:val="22"/>
        </w:rPr>
        <w:t xml:space="preserve"> zukünftige</w:t>
      </w:r>
      <w:r w:rsidR="3AA78F8B" w:rsidRPr="00E32FDC">
        <w:rPr>
          <w:rFonts w:ascii="Arial" w:hAnsi="Arial" w:cs="Arial"/>
          <w:sz w:val="22"/>
          <w:szCs w:val="22"/>
        </w:rPr>
        <w:t xml:space="preserve"> Pipelinesystem sicherstellen.</w:t>
      </w:r>
    </w:p>
    <w:p w14:paraId="70E96751" w14:textId="773851A0" w:rsidR="007C4E9D" w:rsidRDefault="000E0FB0" w:rsidP="007C4E9D">
      <w:pPr>
        <w:pStyle w:val="01Flietext"/>
        <w:rPr>
          <w:rFonts w:ascii="Arial" w:hAnsi="Arial" w:cs="Arial"/>
          <w:sz w:val="22"/>
          <w:szCs w:val="22"/>
        </w:rPr>
      </w:pPr>
      <w:r w:rsidRPr="00E32FDC">
        <w:rPr>
          <w:rFonts w:ascii="Arial" w:hAnsi="Arial" w:cs="Arial"/>
          <w:sz w:val="22"/>
          <w:szCs w:val="22"/>
        </w:rPr>
        <w:t>„</w:t>
      </w:r>
      <w:r w:rsidR="2308950B" w:rsidRPr="00E32FDC">
        <w:rPr>
          <w:rFonts w:ascii="Arial" w:hAnsi="Arial" w:cs="Arial"/>
          <w:sz w:val="22"/>
          <w:szCs w:val="22"/>
        </w:rPr>
        <w:t>D</w:t>
      </w:r>
      <w:r w:rsidR="007C4E9D" w:rsidRPr="00E32FDC">
        <w:rPr>
          <w:rFonts w:ascii="Arial" w:hAnsi="Arial" w:cs="Arial"/>
          <w:sz w:val="22"/>
          <w:szCs w:val="22"/>
        </w:rPr>
        <w:t xml:space="preserve">ie Partnerschaft mit </w:t>
      </w:r>
      <w:proofErr w:type="spellStart"/>
      <w:r w:rsidR="007C4E9D" w:rsidRPr="00E32FDC">
        <w:rPr>
          <w:rFonts w:ascii="Arial" w:hAnsi="Arial" w:cs="Arial"/>
          <w:sz w:val="22"/>
          <w:szCs w:val="22"/>
        </w:rPr>
        <w:t>blueFLUX</w:t>
      </w:r>
      <w:proofErr w:type="spellEnd"/>
      <w:r w:rsidR="007C4E9D" w:rsidRPr="00E32FDC">
        <w:rPr>
          <w:rFonts w:ascii="Arial" w:hAnsi="Arial" w:cs="Arial"/>
          <w:sz w:val="22"/>
          <w:szCs w:val="22"/>
        </w:rPr>
        <w:t xml:space="preserve"> Energy </w:t>
      </w:r>
      <w:r w:rsidR="73D8D924" w:rsidRPr="00E32FDC">
        <w:rPr>
          <w:rFonts w:ascii="Arial" w:hAnsi="Arial" w:cs="Arial"/>
          <w:sz w:val="22"/>
          <w:szCs w:val="22"/>
        </w:rPr>
        <w:t xml:space="preserve">ist ein Beispiel für unseren Ansatz, den Hochlauf der Wasserstoffwirtschaft zu beschleunigen, indem wir </w:t>
      </w:r>
      <w:r w:rsidR="003C52E0" w:rsidRPr="00E32FDC">
        <w:rPr>
          <w:rFonts w:ascii="Arial" w:hAnsi="Arial" w:cs="Arial"/>
          <w:sz w:val="22"/>
          <w:szCs w:val="22"/>
        </w:rPr>
        <w:t xml:space="preserve">lokal produzierten, </w:t>
      </w:r>
      <w:r w:rsidR="007C4E9D" w:rsidRPr="00E32FDC">
        <w:rPr>
          <w:rFonts w:ascii="Arial" w:hAnsi="Arial" w:cs="Arial"/>
          <w:sz w:val="22"/>
          <w:szCs w:val="22"/>
        </w:rPr>
        <w:t xml:space="preserve">grünen Wasserstoff </w:t>
      </w:r>
      <w:r w:rsidR="15540FD6" w:rsidRPr="00E32FDC">
        <w:rPr>
          <w:rFonts w:ascii="Arial" w:hAnsi="Arial" w:cs="Arial"/>
          <w:sz w:val="22"/>
          <w:szCs w:val="22"/>
        </w:rPr>
        <w:t xml:space="preserve">in räumlicher Nähe </w:t>
      </w:r>
      <w:r w:rsidR="00805079" w:rsidRPr="00E32FDC">
        <w:rPr>
          <w:rFonts w:ascii="Arial" w:hAnsi="Arial" w:cs="Arial"/>
          <w:sz w:val="22"/>
          <w:szCs w:val="22"/>
        </w:rPr>
        <w:t>für unsere Kunden</w:t>
      </w:r>
      <w:r w:rsidR="05956F63" w:rsidRPr="00E32FDC">
        <w:rPr>
          <w:rFonts w:ascii="Arial" w:hAnsi="Arial" w:cs="Arial"/>
          <w:sz w:val="22"/>
          <w:szCs w:val="22"/>
        </w:rPr>
        <w:t xml:space="preserve"> </w:t>
      </w:r>
      <w:r w:rsidR="00805079" w:rsidRPr="00E32FDC">
        <w:rPr>
          <w:rFonts w:ascii="Arial" w:hAnsi="Arial" w:cs="Arial"/>
          <w:sz w:val="22"/>
          <w:szCs w:val="22"/>
        </w:rPr>
        <w:t>bereitstelle</w:t>
      </w:r>
      <w:r w:rsidR="238CC72D" w:rsidRPr="00E32FDC">
        <w:rPr>
          <w:rFonts w:ascii="Arial" w:hAnsi="Arial" w:cs="Arial"/>
          <w:sz w:val="22"/>
          <w:szCs w:val="22"/>
        </w:rPr>
        <w:t>n</w:t>
      </w:r>
      <w:r w:rsidR="00805079" w:rsidRPr="00E32FDC">
        <w:rPr>
          <w:rFonts w:ascii="Arial" w:hAnsi="Arial" w:cs="Arial"/>
          <w:sz w:val="22"/>
          <w:szCs w:val="22"/>
        </w:rPr>
        <w:t xml:space="preserve"> können“</w:t>
      </w:r>
      <w:r w:rsidR="007C4E9D" w:rsidRPr="00E32FDC">
        <w:rPr>
          <w:rFonts w:ascii="Arial" w:hAnsi="Arial" w:cs="Arial"/>
          <w:sz w:val="22"/>
          <w:szCs w:val="22"/>
        </w:rPr>
        <w:t>, s</w:t>
      </w:r>
      <w:r w:rsidR="00805079" w:rsidRPr="00E32FDC">
        <w:rPr>
          <w:rFonts w:ascii="Arial" w:hAnsi="Arial" w:cs="Arial"/>
          <w:sz w:val="22"/>
          <w:szCs w:val="22"/>
        </w:rPr>
        <w:t>o</w:t>
      </w:r>
      <w:r w:rsidR="007C4E9D" w:rsidRPr="00E32FDC">
        <w:rPr>
          <w:rFonts w:ascii="Arial" w:hAnsi="Arial" w:cs="Arial"/>
          <w:sz w:val="22"/>
          <w:szCs w:val="22"/>
        </w:rPr>
        <w:t xml:space="preserve"> Andreas Haller, CEO</w:t>
      </w:r>
      <w:r w:rsidR="003C52E0" w:rsidRPr="00E32FDC">
        <w:rPr>
          <w:rFonts w:ascii="Arial" w:hAnsi="Arial" w:cs="Arial"/>
          <w:sz w:val="22"/>
          <w:szCs w:val="22"/>
        </w:rPr>
        <w:t xml:space="preserve"> und Gründer der Quantron AG</w:t>
      </w:r>
      <w:r w:rsidR="007C4E9D" w:rsidRPr="00E32FDC">
        <w:rPr>
          <w:rFonts w:ascii="Arial" w:hAnsi="Arial" w:cs="Arial"/>
          <w:sz w:val="22"/>
          <w:szCs w:val="22"/>
        </w:rPr>
        <w:t>.</w:t>
      </w:r>
      <w:r w:rsidR="745D0B46" w:rsidRPr="00E32FDC">
        <w:rPr>
          <w:rFonts w:ascii="Arial" w:hAnsi="Arial" w:cs="Arial"/>
          <w:sz w:val="22"/>
          <w:szCs w:val="22"/>
        </w:rPr>
        <w:t xml:space="preserve"> </w:t>
      </w:r>
      <w:r w:rsidR="00927142">
        <w:rPr>
          <w:rFonts w:ascii="Arial" w:hAnsi="Arial" w:cs="Arial"/>
          <w:sz w:val="22"/>
          <w:szCs w:val="22"/>
        </w:rPr>
        <w:t>„</w:t>
      </w:r>
      <w:r w:rsidR="745D0B46" w:rsidRPr="00E32FDC">
        <w:rPr>
          <w:rFonts w:ascii="Arial" w:hAnsi="Arial" w:cs="Arial"/>
          <w:sz w:val="22"/>
          <w:szCs w:val="22"/>
        </w:rPr>
        <w:t xml:space="preserve">Dass mit der Produktion des Wasserstoffs gleichzeitig das Problem der </w:t>
      </w:r>
      <w:r w:rsidR="008048C1">
        <w:rPr>
          <w:rFonts w:ascii="Arial" w:hAnsi="Arial" w:cs="Arial"/>
          <w:sz w:val="22"/>
          <w:szCs w:val="22"/>
        </w:rPr>
        <w:t>Entsorgung</w:t>
      </w:r>
      <w:r w:rsidR="008048C1" w:rsidRPr="00E32FDC">
        <w:rPr>
          <w:rFonts w:ascii="Arial" w:hAnsi="Arial" w:cs="Arial"/>
          <w:sz w:val="22"/>
          <w:szCs w:val="22"/>
        </w:rPr>
        <w:t xml:space="preserve"> </w:t>
      </w:r>
      <w:r w:rsidR="745D0B46" w:rsidRPr="00E32FDC">
        <w:rPr>
          <w:rFonts w:ascii="Arial" w:hAnsi="Arial" w:cs="Arial"/>
          <w:sz w:val="22"/>
          <w:szCs w:val="22"/>
        </w:rPr>
        <w:t>adressiert wird, zeigt die I</w:t>
      </w:r>
      <w:r w:rsidR="3B1D8893" w:rsidRPr="00E32FDC">
        <w:rPr>
          <w:rFonts w:ascii="Arial" w:hAnsi="Arial" w:cs="Arial"/>
          <w:sz w:val="22"/>
          <w:szCs w:val="22"/>
        </w:rPr>
        <w:t>nnovationskraft d</w:t>
      </w:r>
      <w:r w:rsidR="00503C62">
        <w:rPr>
          <w:rFonts w:ascii="Arial" w:hAnsi="Arial" w:cs="Arial"/>
          <w:sz w:val="22"/>
          <w:szCs w:val="22"/>
        </w:rPr>
        <w:t>er Standorte</w:t>
      </w:r>
      <w:r w:rsidR="3B1D8893" w:rsidRPr="00E32FDC">
        <w:rPr>
          <w:rFonts w:ascii="Arial" w:hAnsi="Arial" w:cs="Arial"/>
          <w:sz w:val="22"/>
          <w:szCs w:val="22"/>
        </w:rPr>
        <w:t xml:space="preserve"> Bayern und Deutschland. </w:t>
      </w:r>
      <w:r w:rsidR="007C4E9D" w:rsidRPr="00E32FDC">
        <w:rPr>
          <w:rFonts w:ascii="Arial" w:hAnsi="Arial" w:cs="Arial"/>
          <w:sz w:val="22"/>
          <w:szCs w:val="22"/>
        </w:rPr>
        <w:t xml:space="preserve">Durch die Zusammenarbeit mit </w:t>
      </w:r>
      <w:r w:rsidR="007E40ED" w:rsidRPr="00E32FDC">
        <w:rPr>
          <w:rFonts w:ascii="Arial" w:hAnsi="Arial" w:cs="Arial"/>
          <w:sz w:val="22"/>
          <w:szCs w:val="22"/>
        </w:rPr>
        <w:t xml:space="preserve">unseren </w:t>
      </w:r>
      <w:r w:rsidR="007C4E9D" w:rsidRPr="00E32FDC">
        <w:rPr>
          <w:rFonts w:ascii="Arial" w:hAnsi="Arial" w:cs="Arial"/>
          <w:sz w:val="22"/>
          <w:szCs w:val="22"/>
        </w:rPr>
        <w:t>Partnern in der C</w:t>
      </w:r>
      <w:r w:rsidR="002B7297" w:rsidRPr="00E32FDC">
        <w:rPr>
          <w:rFonts w:ascii="Arial" w:hAnsi="Arial" w:cs="Arial"/>
          <w:sz w:val="22"/>
          <w:szCs w:val="22"/>
        </w:rPr>
        <w:t>lean Transportation Alliance</w:t>
      </w:r>
      <w:r w:rsidR="007C4E9D" w:rsidRPr="00E32FDC">
        <w:rPr>
          <w:rFonts w:ascii="Arial" w:hAnsi="Arial" w:cs="Arial"/>
          <w:sz w:val="22"/>
          <w:szCs w:val="22"/>
        </w:rPr>
        <w:t xml:space="preserve"> </w:t>
      </w:r>
      <w:r w:rsidR="00805079" w:rsidRPr="00E32FDC">
        <w:rPr>
          <w:rFonts w:ascii="Arial" w:hAnsi="Arial" w:cs="Arial"/>
          <w:sz w:val="22"/>
          <w:szCs w:val="22"/>
        </w:rPr>
        <w:t>möchten</w:t>
      </w:r>
      <w:r w:rsidR="007C4E9D" w:rsidRPr="00E32FDC">
        <w:rPr>
          <w:rFonts w:ascii="Arial" w:hAnsi="Arial" w:cs="Arial"/>
          <w:sz w:val="22"/>
          <w:szCs w:val="22"/>
        </w:rPr>
        <w:t xml:space="preserve"> wir die Verfügbarkeit von grünem Wasserstoff sicherstellen und </w:t>
      </w:r>
      <w:r w:rsidR="00805079" w:rsidRPr="00E32FDC">
        <w:rPr>
          <w:rFonts w:ascii="Arial" w:hAnsi="Arial" w:cs="Arial"/>
          <w:sz w:val="22"/>
          <w:szCs w:val="22"/>
        </w:rPr>
        <w:t xml:space="preserve">damit </w:t>
      </w:r>
      <w:r w:rsidR="007C4E9D" w:rsidRPr="00E32FDC">
        <w:rPr>
          <w:rFonts w:ascii="Arial" w:hAnsi="Arial" w:cs="Arial"/>
          <w:sz w:val="22"/>
          <w:szCs w:val="22"/>
        </w:rPr>
        <w:t>die Akzeptanz von emissionsfreien Fahrzeugen vorantreiben.</w:t>
      </w:r>
      <w:r w:rsidR="00946AB2" w:rsidRPr="00E32FDC">
        <w:rPr>
          <w:rFonts w:ascii="Arial" w:hAnsi="Arial" w:cs="Arial"/>
          <w:sz w:val="22"/>
          <w:szCs w:val="22"/>
        </w:rPr>
        <w:t>“</w:t>
      </w:r>
    </w:p>
    <w:p w14:paraId="17DD9233" w14:textId="2484CEBC" w:rsidR="000D48E3" w:rsidRPr="00A46120" w:rsidRDefault="00A46120" w:rsidP="007C4E9D">
      <w:pPr>
        <w:pStyle w:val="01Flietext"/>
        <w:rPr>
          <w:rFonts w:ascii="Arial" w:hAnsi="Arial" w:cs="Arial"/>
          <w:sz w:val="22"/>
          <w:szCs w:val="22"/>
        </w:rPr>
      </w:pPr>
      <w:r w:rsidRPr="000442EB">
        <w:rPr>
          <w:rFonts w:ascii="Arial" w:hAnsi="Arial" w:cs="Arial"/>
          <w:sz w:val="22"/>
          <w:szCs w:val="22"/>
        </w:rPr>
        <w:t xml:space="preserve">Dr. Ulrich Mach von </w:t>
      </w:r>
      <w:proofErr w:type="spellStart"/>
      <w:r w:rsidR="00BC4630">
        <w:rPr>
          <w:rFonts w:ascii="Arial" w:hAnsi="Arial" w:cs="Arial"/>
          <w:sz w:val="22"/>
          <w:szCs w:val="22"/>
        </w:rPr>
        <w:t>blueFLUX</w:t>
      </w:r>
      <w:proofErr w:type="spellEnd"/>
      <w:r w:rsidR="00BC4630" w:rsidRPr="000442EB">
        <w:rPr>
          <w:rFonts w:ascii="Arial" w:hAnsi="Arial" w:cs="Arial"/>
          <w:sz w:val="22"/>
          <w:szCs w:val="22"/>
        </w:rPr>
        <w:t xml:space="preserve"> </w:t>
      </w:r>
      <w:r w:rsidRPr="000442EB">
        <w:rPr>
          <w:rFonts w:ascii="Arial" w:hAnsi="Arial" w:cs="Arial"/>
          <w:sz w:val="22"/>
          <w:szCs w:val="22"/>
        </w:rPr>
        <w:t xml:space="preserve">Energy AG, erklärt: „Der Ansatz von QUANTRON passt gut zum dezentralen Ansatz der </w:t>
      </w:r>
      <w:proofErr w:type="spellStart"/>
      <w:r w:rsidRPr="000442EB">
        <w:rPr>
          <w:rFonts w:ascii="Arial" w:hAnsi="Arial" w:cs="Arial"/>
          <w:sz w:val="22"/>
          <w:szCs w:val="22"/>
        </w:rPr>
        <w:t>blueFLUX</w:t>
      </w:r>
      <w:proofErr w:type="spellEnd"/>
      <w:r w:rsidRPr="000442EB">
        <w:rPr>
          <w:rFonts w:ascii="Arial" w:hAnsi="Arial" w:cs="Arial"/>
          <w:sz w:val="22"/>
          <w:szCs w:val="22"/>
        </w:rPr>
        <w:t xml:space="preserve"> Energy AG </w:t>
      </w:r>
      <w:r w:rsidR="008048C1">
        <w:rPr>
          <w:rFonts w:ascii="Arial" w:hAnsi="Arial" w:cs="Arial"/>
          <w:sz w:val="22"/>
          <w:szCs w:val="22"/>
        </w:rPr>
        <w:t>für den</w:t>
      </w:r>
      <w:r w:rsidR="008048C1" w:rsidRPr="000442EB">
        <w:rPr>
          <w:rFonts w:ascii="Arial" w:hAnsi="Arial" w:cs="Arial"/>
          <w:sz w:val="22"/>
          <w:szCs w:val="22"/>
        </w:rPr>
        <w:t xml:space="preserve"> </w:t>
      </w:r>
      <w:r w:rsidRPr="000442EB">
        <w:rPr>
          <w:rFonts w:ascii="Arial" w:hAnsi="Arial" w:cs="Arial"/>
          <w:sz w:val="22"/>
          <w:szCs w:val="22"/>
        </w:rPr>
        <w:t xml:space="preserve">Aufbau einer H2-Infrastruktur. </w:t>
      </w:r>
      <w:r w:rsidR="6D79731E" w:rsidRPr="000442EB">
        <w:rPr>
          <w:rFonts w:ascii="Arial" w:hAnsi="Arial" w:cs="Arial"/>
          <w:sz w:val="22"/>
          <w:szCs w:val="22"/>
        </w:rPr>
        <w:t xml:space="preserve">Wir </w:t>
      </w:r>
      <w:r w:rsidRPr="000442EB">
        <w:rPr>
          <w:rFonts w:ascii="Arial" w:hAnsi="Arial" w:cs="Arial"/>
          <w:sz w:val="22"/>
          <w:szCs w:val="22"/>
        </w:rPr>
        <w:t>freuen</w:t>
      </w:r>
      <w:r w:rsidR="4C96E7F9" w:rsidRPr="000442EB">
        <w:rPr>
          <w:rFonts w:ascii="Arial" w:hAnsi="Arial" w:cs="Arial"/>
          <w:sz w:val="22"/>
          <w:szCs w:val="22"/>
        </w:rPr>
        <w:t xml:space="preserve"> uns</w:t>
      </w:r>
      <w:r w:rsidRPr="000442EB">
        <w:rPr>
          <w:rFonts w:ascii="Arial" w:hAnsi="Arial" w:cs="Arial"/>
          <w:sz w:val="22"/>
          <w:szCs w:val="22"/>
        </w:rPr>
        <w:t xml:space="preserve">, dass wir mit der </w:t>
      </w:r>
      <w:proofErr w:type="spellStart"/>
      <w:r w:rsidRPr="000442EB">
        <w:rPr>
          <w:rFonts w:ascii="Arial" w:hAnsi="Arial" w:cs="Arial"/>
          <w:sz w:val="22"/>
          <w:szCs w:val="22"/>
        </w:rPr>
        <w:t>blueFLUX</w:t>
      </w:r>
      <w:proofErr w:type="spellEnd"/>
      <w:r w:rsidRPr="000442EB">
        <w:rPr>
          <w:rFonts w:ascii="Arial" w:hAnsi="Arial" w:cs="Arial"/>
          <w:sz w:val="22"/>
          <w:szCs w:val="22"/>
        </w:rPr>
        <w:t xml:space="preserve"> Technologie zu</w:t>
      </w:r>
      <w:r w:rsidR="386752F6" w:rsidRPr="000442EB">
        <w:rPr>
          <w:rFonts w:ascii="Arial" w:hAnsi="Arial" w:cs="Arial"/>
          <w:sz w:val="22"/>
          <w:szCs w:val="22"/>
        </w:rPr>
        <w:t xml:space="preserve">m klimafreundlichen Verkehr </w:t>
      </w:r>
      <w:r w:rsidRPr="000442EB">
        <w:rPr>
          <w:rFonts w:ascii="Arial" w:hAnsi="Arial" w:cs="Arial"/>
          <w:sz w:val="22"/>
          <w:szCs w:val="22"/>
        </w:rPr>
        <w:t>beitragen können.</w:t>
      </w:r>
      <w:r w:rsidR="00CC4B5C" w:rsidRPr="000442EB">
        <w:rPr>
          <w:rFonts w:ascii="Arial" w:hAnsi="Arial" w:cs="Arial"/>
          <w:sz w:val="22"/>
          <w:szCs w:val="22"/>
        </w:rPr>
        <w:t xml:space="preserve"> </w:t>
      </w:r>
      <w:r w:rsidRPr="000442EB">
        <w:rPr>
          <w:rFonts w:ascii="Arial" w:hAnsi="Arial" w:cs="Arial"/>
          <w:sz w:val="22"/>
          <w:szCs w:val="22"/>
        </w:rPr>
        <w:t xml:space="preserve">Gerade der Mobilitätssektor wird in den nächsten Jahren durch das Thema Quotenerlöse immer </w:t>
      </w:r>
      <w:r w:rsidR="008048C1">
        <w:rPr>
          <w:rFonts w:ascii="Arial" w:hAnsi="Arial" w:cs="Arial"/>
          <w:sz w:val="22"/>
          <w:szCs w:val="22"/>
        </w:rPr>
        <w:t>spannender</w:t>
      </w:r>
      <w:r w:rsidR="008048C1" w:rsidRPr="000442EB">
        <w:rPr>
          <w:rFonts w:ascii="Arial" w:hAnsi="Arial" w:cs="Arial"/>
          <w:sz w:val="22"/>
          <w:szCs w:val="22"/>
        </w:rPr>
        <w:t xml:space="preserve"> </w:t>
      </w:r>
      <w:r w:rsidRPr="000442EB">
        <w:rPr>
          <w:rFonts w:ascii="Arial" w:hAnsi="Arial" w:cs="Arial"/>
          <w:sz w:val="22"/>
          <w:szCs w:val="22"/>
        </w:rPr>
        <w:t xml:space="preserve">werden. </w:t>
      </w:r>
      <w:proofErr w:type="spellStart"/>
      <w:r w:rsidRPr="000442EB">
        <w:rPr>
          <w:rFonts w:ascii="Arial" w:hAnsi="Arial" w:cs="Arial"/>
          <w:sz w:val="22"/>
          <w:szCs w:val="22"/>
        </w:rPr>
        <w:t>blueFLUX</w:t>
      </w:r>
      <w:proofErr w:type="spellEnd"/>
      <w:r w:rsidRPr="000442EB">
        <w:rPr>
          <w:rFonts w:ascii="Arial" w:hAnsi="Arial" w:cs="Arial"/>
          <w:sz w:val="22"/>
          <w:szCs w:val="22"/>
        </w:rPr>
        <w:t xml:space="preserve"> ist Experte für die Materialien, die besonders </w:t>
      </w:r>
      <w:r w:rsidR="008048C1">
        <w:rPr>
          <w:rFonts w:ascii="Arial" w:hAnsi="Arial" w:cs="Arial"/>
          <w:sz w:val="22"/>
          <w:szCs w:val="22"/>
        </w:rPr>
        <w:t>lukrative</w:t>
      </w:r>
      <w:r w:rsidR="008048C1" w:rsidRPr="000442EB">
        <w:rPr>
          <w:rFonts w:ascii="Arial" w:hAnsi="Arial" w:cs="Arial"/>
          <w:sz w:val="22"/>
          <w:szCs w:val="22"/>
        </w:rPr>
        <w:t xml:space="preserve"> </w:t>
      </w:r>
      <w:r w:rsidRPr="000442EB">
        <w:rPr>
          <w:rFonts w:ascii="Arial" w:hAnsi="Arial" w:cs="Arial"/>
          <w:sz w:val="22"/>
          <w:szCs w:val="22"/>
        </w:rPr>
        <w:t xml:space="preserve">Quotenerlöse für die Einführung von nachhaltig erzeugtem Wasserstoff in die Mobilität generieren. In Kombination mit den niedrigen Produktionskosten und dem dezentralen Ansatz ergeben sich daraus </w:t>
      </w:r>
      <w:r w:rsidR="00C21846">
        <w:rPr>
          <w:rFonts w:ascii="Arial" w:hAnsi="Arial" w:cs="Arial"/>
          <w:sz w:val="22"/>
          <w:szCs w:val="22"/>
        </w:rPr>
        <w:t xml:space="preserve">zudem </w:t>
      </w:r>
      <w:r w:rsidRPr="000442EB">
        <w:rPr>
          <w:rFonts w:ascii="Arial" w:hAnsi="Arial" w:cs="Arial"/>
          <w:sz w:val="22"/>
          <w:szCs w:val="22"/>
        </w:rPr>
        <w:t>spannende Geschäftsmodelle für die Betreiber</w:t>
      </w:r>
      <w:r w:rsidR="00C21846">
        <w:rPr>
          <w:rFonts w:ascii="Arial" w:hAnsi="Arial" w:cs="Arial"/>
          <w:sz w:val="22"/>
          <w:szCs w:val="22"/>
        </w:rPr>
        <w:t xml:space="preserve"> der Anlagentechnik</w:t>
      </w:r>
      <w:r w:rsidRPr="000442EB">
        <w:rPr>
          <w:rFonts w:ascii="Arial" w:hAnsi="Arial" w:cs="Arial"/>
          <w:sz w:val="22"/>
          <w:szCs w:val="22"/>
        </w:rPr>
        <w:t>."</w:t>
      </w:r>
    </w:p>
    <w:p w14:paraId="3D783198" w14:textId="2CBDFEA4" w:rsidR="00835AC2" w:rsidRDefault="007C4E9D" w:rsidP="00E45914">
      <w:pPr>
        <w:pStyle w:val="01Flietext"/>
        <w:rPr>
          <w:rFonts w:ascii="Arial" w:hAnsi="Arial" w:cs="Arial"/>
          <w:sz w:val="22"/>
          <w:szCs w:val="22"/>
        </w:rPr>
      </w:pPr>
      <w:r w:rsidRPr="5F89CC86">
        <w:rPr>
          <w:rFonts w:ascii="Arial" w:hAnsi="Arial" w:cs="Arial"/>
          <w:sz w:val="22"/>
          <w:szCs w:val="22"/>
        </w:rPr>
        <w:t xml:space="preserve">Neben </w:t>
      </w:r>
      <w:proofErr w:type="spellStart"/>
      <w:r w:rsidRPr="5F89CC86">
        <w:rPr>
          <w:rFonts w:ascii="Arial" w:hAnsi="Arial" w:cs="Arial"/>
          <w:sz w:val="22"/>
          <w:szCs w:val="22"/>
        </w:rPr>
        <w:t>blueFLUX</w:t>
      </w:r>
      <w:proofErr w:type="spellEnd"/>
      <w:r w:rsidRPr="5F89CC86">
        <w:rPr>
          <w:rFonts w:ascii="Arial" w:hAnsi="Arial" w:cs="Arial"/>
          <w:sz w:val="22"/>
          <w:szCs w:val="22"/>
        </w:rPr>
        <w:t xml:space="preserve"> Energy sind </w:t>
      </w:r>
      <w:r w:rsidR="00934F8A" w:rsidRPr="5F89CC86">
        <w:rPr>
          <w:rFonts w:ascii="Arial" w:hAnsi="Arial" w:cs="Arial"/>
          <w:sz w:val="22"/>
          <w:szCs w:val="22"/>
        </w:rPr>
        <w:t xml:space="preserve">bereits </w:t>
      </w:r>
      <w:r w:rsidR="00CF1EA3" w:rsidRPr="5F89CC86">
        <w:rPr>
          <w:rFonts w:ascii="Arial" w:hAnsi="Arial" w:cs="Arial"/>
          <w:sz w:val="22"/>
          <w:szCs w:val="22"/>
        </w:rPr>
        <w:t>Unternehmen wie der führende Hersteller für Brennstoffzellen Ballard Power Systems</w:t>
      </w:r>
      <w:r w:rsidR="7CEE9C69" w:rsidRPr="5F89CC86">
        <w:rPr>
          <w:rFonts w:ascii="Arial" w:hAnsi="Arial" w:cs="Arial"/>
          <w:sz w:val="22"/>
          <w:szCs w:val="22"/>
        </w:rPr>
        <w:t xml:space="preserve">, Neuman &amp; Esser als Spezialist für </w:t>
      </w:r>
      <w:proofErr w:type="spellStart"/>
      <w:r w:rsidR="7CEE9C69" w:rsidRPr="5F89CC86">
        <w:rPr>
          <w:rFonts w:ascii="Arial" w:hAnsi="Arial" w:cs="Arial"/>
          <w:sz w:val="22"/>
          <w:szCs w:val="22"/>
        </w:rPr>
        <w:t>Kompressortechnik</w:t>
      </w:r>
      <w:proofErr w:type="spellEnd"/>
      <w:r w:rsidR="7CEE9C69" w:rsidRPr="5F89CC86">
        <w:rPr>
          <w:rFonts w:ascii="Arial" w:hAnsi="Arial" w:cs="Arial"/>
          <w:sz w:val="22"/>
          <w:szCs w:val="22"/>
        </w:rPr>
        <w:t xml:space="preserve"> und technische Gase </w:t>
      </w:r>
      <w:r w:rsidR="00AA0048" w:rsidRPr="5F89CC86">
        <w:rPr>
          <w:rFonts w:ascii="Arial" w:hAnsi="Arial" w:cs="Arial"/>
          <w:sz w:val="22"/>
          <w:szCs w:val="22"/>
        </w:rPr>
        <w:t>und</w:t>
      </w:r>
      <w:r w:rsidR="00CF1EA3" w:rsidRPr="5F89CC86">
        <w:rPr>
          <w:rFonts w:ascii="Arial" w:hAnsi="Arial" w:cs="Arial"/>
          <w:sz w:val="22"/>
          <w:szCs w:val="22"/>
        </w:rPr>
        <w:t xml:space="preserve"> </w:t>
      </w:r>
      <w:r w:rsidR="00934F8A" w:rsidRPr="5F89CC86">
        <w:rPr>
          <w:rFonts w:ascii="Arial" w:hAnsi="Arial" w:cs="Arial"/>
          <w:sz w:val="22"/>
          <w:szCs w:val="22"/>
        </w:rPr>
        <w:t xml:space="preserve">weitere </w:t>
      </w:r>
      <w:proofErr w:type="spellStart"/>
      <w:r w:rsidR="00934F8A" w:rsidRPr="5F89CC86">
        <w:rPr>
          <w:rFonts w:ascii="Arial" w:hAnsi="Arial" w:cs="Arial"/>
          <w:sz w:val="22"/>
          <w:szCs w:val="22"/>
        </w:rPr>
        <w:t>Waste</w:t>
      </w:r>
      <w:proofErr w:type="spellEnd"/>
      <w:r w:rsidR="00934F8A" w:rsidRPr="5F89CC86">
        <w:rPr>
          <w:rFonts w:ascii="Arial" w:hAnsi="Arial" w:cs="Arial"/>
          <w:sz w:val="22"/>
          <w:szCs w:val="22"/>
        </w:rPr>
        <w:t>-to-Hydrogen Unternehmen wie</w:t>
      </w:r>
      <w:r w:rsidR="5808B85A" w:rsidRPr="5F89CC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5808B85A" w:rsidRPr="5F89CC86">
        <w:rPr>
          <w:rFonts w:ascii="Arial" w:hAnsi="Arial" w:cs="Arial"/>
          <w:sz w:val="22"/>
          <w:szCs w:val="22"/>
        </w:rPr>
        <w:t>BtX</w:t>
      </w:r>
      <w:proofErr w:type="spellEnd"/>
      <w:r w:rsidR="5808B85A" w:rsidRPr="5F89CC86">
        <w:rPr>
          <w:rFonts w:ascii="Arial" w:hAnsi="Arial" w:cs="Arial"/>
          <w:sz w:val="22"/>
          <w:szCs w:val="22"/>
        </w:rPr>
        <w:t xml:space="preserve"> Energy,</w:t>
      </w:r>
      <w:r w:rsidR="00934F8A" w:rsidRPr="5F89CC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F8A" w:rsidRPr="5F89CC86">
        <w:rPr>
          <w:rFonts w:ascii="Arial" w:hAnsi="Arial" w:cs="Arial"/>
          <w:sz w:val="22"/>
          <w:szCs w:val="22"/>
        </w:rPr>
        <w:t>Plagazi</w:t>
      </w:r>
      <w:proofErr w:type="spellEnd"/>
      <w:r w:rsidR="00383D64">
        <w:rPr>
          <w:rFonts w:ascii="Arial" w:hAnsi="Arial" w:cs="Arial"/>
          <w:sz w:val="22"/>
          <w:szCs w:val="22"/>
        </w:rPr>
        <w:t>, Green Hydrogen Technology (GHT)</w:t>
      </w:r>
      <w:r w:rsidR="00934F8A" w:rsidRPr="5F89CC86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34F8A" w:rsidRPr="5F89CC86">
        <w:rPr>
          <w:rFonts w:ascii="Arial" w:hAnsi="Arial" w:cs="Arial"/>
          <w:sz w:val="22"/>
          <w:szCs w:val="22"/>
        </w:rPr>
        <w:t>Uniwastec</w:t>
      </w:r>
      <w:proofErr w:type="spellEnd"/>
      <w:r w:rsidR="00934F8A" w:rsidRPr="5F89CC86">
        <w:rPr>
          <w:rFonts w:ascii="Arial" w:hAnsi="Arial" w:cs="Arial"/>
          <w:sz w:val="22"/>
          <w:szCs w:val="22"/>
        </w:rPr>
        <w:t xml:space="preserve"> </w:t>
      </w:r>
      <w:r w:rsidRPr="5F89CC86">
        <w:rPr>
          <w:rFonts w:ascii="Arial" w:hAnsi="Arial" w:cs="Arial"/>
          <w:sz w:val="22"/>
          <w:szCs w:val="22"/>
        </w:rPr>
        <w:t>Mitglieder der Clean Transportation Alliance. Gemeinsam setzen sie sich für eine nachhaltige und umweltfreundliche Mobilität ein.</w:t>
      </w:r>
    </w:p>
    <w:p w14:paraId="325C056B" w14:textId="7FFF8229" w:rsidR="0EB63F25" w:rsidRDefault="0EB63F25" w:rsidP="0EB63F25">
      <w:pPr>
        <w:pStyle w:val="01Flietext"/>
        <w:rPr>
          <w:rFonts w:ascii="Arial" w:hAnsi="Arial" w:cs="Arial"/>
          <w:sz w:val="22"/>
          <w:szCs w:val="22"/>
        </w:rPr>
      </w:pPr>
    </w:p>
    <w:p w14:paraId="258C7815" w14:textId="77777777" w:rsidR="00CA5DC0" w:rsidRDefault="00CA5DC0" w:rsidP="0EB63F25">
      <w:pPr>
        <w:pStyle w:val="01Flietext"/>
        <w:rPr>
          <w:rFonts w:ascii="Arial" w:hAnsi="Arial" w:cs="Arial"/>
          <w:sz w:val="22"/>
          <w:szCs w:val="22"/>
        </w:rPr>
      </w:pPr>
    </w:p>
    <w:p w14:paraId="36B773D0" w14:textId="77777777" w:rsidR="00816797" w:rsidRPr="001A017C" w:rsidRDefault="00816797" w:rsidP="00E45914">
      <w:pPr>
        <w:pStyle w:val="01Flietext"/>
        <w:rPr>
          <w:rFonts w:ascii="Arial" w:hAnsi="Arial" w:cs="Arial"/>
          <w:sz w:val="22"/>
          <w:szCs w:val="22"/>
        </w:rPr>
      </w:pPr>
    </w:p>
    <w:p w14:paraId="21AE9850" w14:textId="281FAF59" w:rsidR="008B7AF6" w:rsidRPr="002150B5" w:rsidRDefault="00FD5A97" w:rsidP="00FD5A97">
      <w:pPr>
        <w:rPr>
          <w:rFonts w:cs="Arial"/>
          <w:b/>
        </w:rPr>
      </w:pPr>
      <w:r w:rsidRPr="002150B5">
        <w:rPr>
          <w:rFonts w:cs="Arial"/>
          <w:b/>
        </w:rPr>
        <w:t>Bilder (Zum Download bitte auf die Bildvorschau klicken)</w:t>
      </w:r>
      <w:r w:rsidR="008B7AF6" w:rsidRPr="002150B5">
        <w:rPr>
          <w:rFonts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112"/>
      </w:tblGrid>
      <w:tr w:rsidR="00F80A26" w:rsidRPr="001A017C" w14:paraId="1F296849" w14:textId="77777777" w:rsidTr="009149E0">
        <w:trPr>
          <w:trHeight w:val="977"/>
        </w:trPr>
        <w:tc>
          <w:tcPr>
            <w:tcW w:w="3304" w:type="dxa"/>
          </w:tcPr>
          <w:p w14:paraId="06993F58" w14:textId="5232BC81" w:rsidR="00F80A26" w:rsidRDefault="00F5635D" w:rsidP="00F63FEA">
            <w:pPr>
              <w:ind w:right="597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768CC2" wp14:editId="39551751">
                  <wp:extent cx="1576800" cy="2210400"/>
                  <wp:effectExtent l="0" t="0" r="4445" b="0"/>
                  <wp:docPr id="2044826127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826127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22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14:paraId="401FCDDD" w14:textId="5F4CE108" w:rsidR="00F80A26" w:rsidRDefault="00F80A26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Andreas Haller, Gründer &amp; CEO </w:t>
            </w:r>
            <w:r w:rsidR="000C0ED5">
              <w:rPr>
                <w:rFonts w:cs="Arial"/>
                <w:bCs/>
              </w:rPr>
              <w:t>der Quantron AG</w:t>
            </w:r>
          </w:p>
        </w:tc>
      </w:tr>
      <w:tr w:rsidR="00682BD1" w:rsidRPr="001A017C" w14:paraId="7BC29849" w14:textId="77777777" w:rsidTr="009149E0">
        <w:trPr>
          <w:trHeight w:val="977"/>
        </w:trPr>
        <w:tc>
          <w:tcPr>
            <w:tcW w:w="3304" w:type="dxa"/>
          </w:tcPr>
          <w:p w14:paraId="333E5E64" w14:textId="3070CE92" w:rsidR="00682BD1" w:rsidRPr="001A017C" w:rsidRDefault="005878A7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01F9924" wp14:editId="7416429A">
                  <wp:extent cx="1576800" cy="2368800"/>
                  <wp:effectExtent l="0" t="0" r="4445" b="0"/>
                  <wp:docPr id="559440706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440706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23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14:paraId="7AB7E469" w14:textId="0C463973" w:rsidR="00682BD1" w:rsidRPr="001A017C" w:rsidRDefault="00D82923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Dr. </w:t>
            </w:r>
            <w:r w:rsidR="0052450B">
              <w:rPr>
                <w:rFonts w:cs="Arial"/>
                <w:bCs/>
              </w:rPr>
              <w:t xml:space="preserve">Ulrich Mach, </w:t>
            </w:r>
            <w:r w:rsidR="00C46D4F" w:rsidRPr="00C46D4F">
              <w:rPr>
                <w:rFonts w:cs="Arial"/>
                <w:bCs/>
              </w:rPr>
              <w:t xml:space="preserve">Prokurist bei </w:t>
            </w:r>
            <w:proofErr w:type="spellStart"/>
            <w:r w:rsidR="00C46D4F" w:rsidRPr="00C46D4F">
              <w:rPr>
                <w:rFonts w:cs="Arial"/>
                <w:bCs/>
              </w:rPr>
              <w:t>blueFLUX</w:t>
            </w:r>
            <w:proofErr w:type="spellEnd"/>
            <w:r w:rsidR="00C46D4F" w:rsidRPr="00C46D4F">
              <w:rPr>
                <w:rFonts w:cs="Arial"/>
                <w:bCs/>
              </w:rPr>
              <w:t xml:space="preserve"> Energy AG</w:t>
            </w:r>
          </w:p>
        </w:tc>
      </w:tr>
    </w:tbl>
    <w:p w14:paraId="312772B0" w14:textId="77777777" w:rsidR="00E13E09" w:rsidRPr="001A017C" w:rsidRDefault="00E13E09" w:rsidP="00F63FEA">
      <w:pPr>
        <w:ind w:right="597"/>
        <w:rPr>
          <w:rFonts w:cs="Arial"/>
          <w:bCs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16">
        <w:r w:rsidRPr="001A017C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3617161C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</w:t>
      </w:r>
      <w:r w:rsidR="004B12B9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nachhaltigen Personen- und Gütertransport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</w:t>
      </w:r>
      <w:r w:rsidR="00DA4B8F">
        <w:rPr>
          <w:rStyle w:val="normaltextrun"/>
          <w:rFonts w:ascii="Arial" w:hAnsi="Arial" w:cs="Arial"/>
          <w:i/>
          <w:iCs/>
          <w:sz w:val="20"/>
          <w:szCs w:val="20"/>
        </w:rPr>
        <w:t>GmbH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2CABFF2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</w:t>
      </w:r>
      <w:r w:rsidR="00C40045">
        <w:rPr>
          <w:rStyle w:val="normaltextrun"/>
          <w:rFonts w:ascii="Arial" w:hAnsi="Arial" w:cs="Arial"/>
          <w:i/>
          <w:iCs/>
          <w:sz w:val="20"/>
          <w:szCs w:val="20"/>
        </w:rPr>
        <w:t xml:space="preserve">und den Vertrieb 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17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18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Weitere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Informationen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unter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9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054049">
      <w:pPr>
        <w:rPr>
          <w:sz w:val="18"/>
          <w:szCs w:val="18"/>
          <w:lang w:val="en-US"/>
        </w:rPr>
      </w:pPr>
      <w:proofErr w:type="spellStart"/>
      <w:r w:rsidRPr="001A017C">
        <w:rPr>
          <w:rStyle w:val="normaltextrun"/>
          <w:rFonts w:cs="Arial"/>
          <w:b/>
          <w:bCs/>
          <w:lang w:val="en-US"/>
        </w:rPr>
        <w:t>Ansprechpartner</w:t>
      </w:r>
      <w:proofErr w:type="spellEnd"/>
      <w:r w:rsidRPr="001A017C">
        <w:rPr>
          <w:rStyle w:val="normaltextrun"/>
          <w:rFonts w:cs="Arial"/>
          <w:b/>
          <w:bCs/>
          <w:lang w:val="en-US"/>
        </w:rPr>
        <w:t>: </w:t>
      </w:r>
      <w:r w:rsidRPr="001A017C">
        <w:rPr>
          <w:rStyle w:val="eop"/>
          <w:rFonts w:cs="Arial"/>
          <w:lang w:val="en-US"/>
        </w:rPr>
        <w:t> </w:t>
      </w:r>
    </w:p>
    <w:p w14:paraId="1EFF621C" w14:textId="446BB1CE" w:rsidR="00DC162F" w:rsidRPr="001A017C" w:rsidRDefault="00971D89" w:rsidP="00054049">
      <w:pPr>
        <w:rPr>
          <w:sz w:val="18"/>
          <w:szCs w:val="18"/>
          <w:lang w:val="en-US"/>
        </w:rPr>
      </w:pPr>
      <w:r w:rsidRPr="001A017C">
        <w:rPr>
          <w:color w:val="000000" w:themeColor="text1"/>
          <w:lang w:val="en-US"/>
        </w:rPr>
        <w:t>Jörg Zwilling, Director Global Communication</w:t>
      </w:r>
      <w:r w:rsidR="008332EE">
        <w:rPr>
          <w:color w:val="000000" w:themeColor="text1"/>
          <w:lang w:val="en-US"/>
        </w:rPr>
        <w:t>s</w:t>
      </w:r>
      <w:r w:rsidRPr="001A017C">
        <w:rPr>
          <w:color w:val="000000" w:themeColor="text1"/>
          <w:lang w:val="en-US"/>
        </w:rPr>
        <w:t xml:space="preserve"> &amp; Business Development</w:t>
      </w:r>
      <w:r w:rsidR="00054049">
        <w:rPr>
          <w:color w:val="000000" w:themeColor="text1"/>
          <w:lang w:val="en-US"/>
        </w:rPr>
        <w:t xml:space="preserve"> Quantron AG</w:t>
      </w:r>
      <w:r w:rsidRPr="001A017C">
        <w:rPr>
          <w:color w:val="000000" w:themeColor="text1"/>
          <w:lang w:val="en-US"/>
        </w:rPr>
        <w:t xml:space="preserve">, </w:t>
      </w:r>
      <w:hyperlink r:id="rId20" w:history="1">
        <w:r w:rsidRPr="001A017C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054049">
        <w:rPr>
          <w:sz w:val="18"/>
          <w:szCs w:val="18"/>
          <w:lang w:val="en-US"/>
        </w:rPr>
        <w:br/>
      </w:r>
      <w:r w:rsidR="00DC162F" w:rsidRPr="001A017C">
        <w:rPr>
          <w:color w:val="000000" w:themeColor="text1"/>
          <w:lang w:val="en-US"/>
        </w:rPr>
        <w:t>Stephanie Miller, Marketing &amp; Communications Quantron AG,</w:t>
      </w:r>
      <w:r w:rsidR="00DC162F" w:rsidRPr="001A017C">
        <w:rPr>
          <w:rStyle w:val="normaltextrun"/>
          <w:rFonts w:cs="Arial"/>
          <w:lang w:val="fr-BE"/>
        </w:rPr>
        <w:t xml:space="preserve"> </w:t>
      </w:r>
      <w:hyperlink r:id="rId21" w:history="1">
        <w:r w:rsidR="00473883" w:rsidRPr="001A017C">
          <w:rPr>
            <w:rStyle w:val="Hyperlink"/>
            <w:rFonts w:cs="Arial"/>
            <w:lang w:val="fr-BE"/>
          </w:rPr>
          <w:t>press@quantron.net</w:t>
        </w:r>
      </w:hyperlink>
      <w:r w:rsidR="00DC162F" w:rsidRPr="001A017C">
        <w:rPr>
          <w:rStyle w:val="eop"/>
          <w:rFonts w:cs="Arial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A05A6E">
      <w:headerReference w:type="default" r:id="rId22"/>
      <w:footerReference w:type="default" r:id="rId23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F285" w14:textId="77777777" w:rsidR="00A05A6E" w:rsidRDefault="00A05A6E" w:rsidP="00AE78E4">
      <w:pPr>
        <w:spacing w:after="0" w:line="240" w:lineRule="auto"/>
      </w:pPr>
      <w:r>
        <w:separator/>
      </w:r>
    </w:p>
  </w:endnote>
  <w:endnote w:type="continuationSeparator" w:id="0">
    <w:p w14:paraId="06556FBF" w14:textId="77777777" w:rsidR="00A05A6E" w:rsidRDefault="00A05A6E" w:rsidP="00AE78E4">
      <w:pPr>
        <w:spacing w:after="0" w:line="240" w:lineRule="auto"/>
      </w:pPr>
      <w:r>
        <w:continuationSeparator/>
      </w:r>
    </w:p>
  </w:endnote>
  <w:endnote w:type="continuationNotice" w:id="1">
    <w:p w14:paraId="7B0A426F" w14:textId="77777777" w:rsidR="00A05A6E" w:rsidRDefault="00A05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oup 2" o:spid="_x0000_s1027" style="position:absolute;margin-left:-19.65pt;margin-top:9.6pt;width:74.75pt;height:24.3pt;z-index:25166233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72EA" w14:textId="77777777" w:rsidR="00A05A6E" w:rsidRDefault="00A05A6E" w:rsidP="00AE78E4">
      <w:pPr>
        <w:spacing w:after="0" w:line="240" w:lineRule="auto"/>
      </w:pPr>
      <w:r>
        <w:separator/>
      </w:r>
    </w:p>
  </w:footnote>
  <w:footnote w:type="continuationSeparator" w:id="0">
    <w:p w14:paraId="608AD161" w14:textId="77777777" w:rsidR="00A05A6E" w:rsidRDefault="00A05A6E" w:rsidP="00AE78E4">
      <w:pPr>
        <w:spacing w:after="0" w:line="240" w:lineRule="auto"/>
      </w:pPr>
      <w:r>
        <w:continuationSeparator/>
      </w:r>
    </w:p>
  </w:footnote>
  <w:footnote w:type="continuationNotice" w:id="1">
    <w:p w14:paraId="3F22085E" w14:textId="77777777" w:rsidR="00A05A6E" w:rsidRDefault="00A05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60290" behindDoc="0" locked="0" layoutInCell="1" allowOverlap="1" wp14:anchorId="4A8E170D" wp14:editId="1C583B98">
          <wp:simplePos x="0" y="0"/>
          <wp:positionH relativeFrom="column">
            <wp:posOffset>-922020</wp:posOffset>
          </wp:positionH>
          <wp:positionV relativeFrom="paragraph">
            <wp:posOffset>-204470</wp:posOffset>
          </wp:positionV>
          <wp:extent cx="7740000" cy="1310400"/>
          <wp:effectExtent l="0" t="0" r="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13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1544"/>
    <w:rsid w:val="000247BB"/>
    <w:rsid w:val="00025DED"/>
    <w:rsid w:val="0003259C"/>
    <w:rsid w:val="0003570F"/>
    <w:rsid w:val="00035FFF"/>
    <w:rsid w:val="000371E5"/>
    <w:rsid w:val="0004014A"/>
    <w:rsid w:val="000442EB"/>
    <w:rsid w:val="00054049"/>
    <w:rsid w:val="00054DE0"/>
    <w:rsid w:val="00060A7F"/>
    <w:rsid w:val="0007070F"/>
    <w:rsid w:val="000928E5"/>
    <w:rsid w:val="00092F2C"/>
    <w:rsid w:val="000944FD"/>
    <w:rsid w:val="000C0ED5"/>
    <w:rsid w:val="000C5190"/>
    <w:rsid w:val="000C6948"/>
    <w:rsid w:val="000C71F9"/>
    <w:rsid w:val="000D48E3"/>
    <w:rsid w:val="000E0FB0"/>
    <w:rsid w:val="000E644A"/>
    <w:rsid w:val="00113E8F"/>
    <w:rsid w:val="0011696D"/>
    <w:rsid w:val="001319C3"/>
    <w:rsid w:val="00132639"/>
    <w:rsid w:val="00137966"/>
    <w:rsid w:val="001417A9"/>
    <w:rsid w:val="00150D45"/>
    <w:rsid w:val="001536A5"/>
    <w:rsid w:val="00154823"/>
    <w:rsid w:val="00155510"/>
    <w:rsid w:val="0016309B"/>
    <w:rsid w:val="001736DB"/>
    <w:rsid w:val="00182B88"/>
    <w:rsid w:val="001875DD"/>
    <w:rsid w:val="00195C88"/>
    <w:rsid w:val="0019757E"/>
    <w:rsid w:val="001A017C"/>
    <w:rsid w:val="001A0965"/>
    <w:rsid w:val="001A1178"/>
    <w:rsid w:val="001A52B1"/>
    <w:rsid w:val="001A6BD8"/>
    <w:rsid w:val="001B63EE"/>
    <w:rsid w:val="001C3B18"/>
    <w:rsid w:val="001D311A"/>
    <w:rsid w:val="001D3206"/>
    <w:rsid w:val="001D6474"/>
    <w:rsid w:val="001D75BD"/>
    <w:rsid w:val="001E16CA"/>
    <w:rsid w:val="001E1C2B"/>
    <w:rsid w:val="001E245E"/>
    <w:rsid w:val="001E3047"/>
    <w:rsid w:val="001F3857"/>
    <w:rsid w:val="002150B5"/>
    <w:rsid w:val="00217303"/>
    <w:rsid w:val="00221D25"/>
    <w:rsid w:val="002234A4"/>
    <w:rsid w:val="0022565D"/>
    <w:rsid w:val="00225B56"/>
    <w:rsid w:val="002353A6"/>
    <w:rsid w:val="0024135C"/>
    <w:rsid w:val="0024358B"/>
    <w:rsid w:val="0025057D"/>
    <w:rsid w:val="0025461D"/>
    <w:rsid w:val="0026162A"/>
    <w:rsid w:val="00262DBB"/>
    <w:rsid w:val="00267DB4"/>
    <w:rsid w:val="00271CC3"/>
    <w:rsid w:val="00273889"/>
    <w:rsid w:val="00275C5D"/>
    <w:rsid w:val="00277052"/>
    <w:rsid w:val="00281F0D"/>
    <w:rsid w:val="00293139"/>
    <w:rsid w:val="0029513D"/>
    <w:rsid w:val="002975E2"/>
    <w:rsid w:val="002B310C"/>
    <w:rsid w:val="002B7297"/>
    <w:rsid w:val="002B76D0"/>
    <w:rsid w:val="002C0094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053FD"/>
    <w:rsid w:val="00312572"/>
    <w:rsid w:val="003172FA"/>
    <w:rsid w:val="00320FE3"/>
    <w:rsid w:val="0032393F"/>
    <w:rsid w:val="00332F4F"/>
    <w:rsid w:val="00344016"/>
    <w:rsid w:val="00347550"/>
    <w:rsid w:val="0036362A"/>
    <w:rsid w:val="003662A9"/>
    <w:rsid w:val="00370BC2"/>
    <w:rsid w:val="0037303E"/>
    <w:rsid w:val="00377865"/>
    <w:rsid w:val="0037D595"/>
    <w:rsid w:val="00380394"/>
    <w:rsid w:val="003824EA"/>
    <w:rsid w:val="00383D64"/>
    <w:rsid w:val="0039042C"/>
    <w:rsid w:val="003A1EF1"/>
    <w:rsid w:val="003B237E"/>
    <w:rsid w:val="003B4609"/>
    <w:rsid w:val="003B4A14"/>
    <w:rsid w:val="003C0EF8"/>
    <w:rsid w:val="003C52E0"/>
    <w:rsid w:val="003C6BB1"/>
    <w:rsid w:val="003D02BE"/>
    <w:rsid w:val="003D26FC"/>
    <w:rsid w:val="003E700E"/>
    <w:rsid w:val="003F1AAC"/>
    <w:rsid w:val="003F6267"/>
    <w:rsid w:val="003F63B3"/>
    <w:rsid w:val="00401889"/>
    <w:rsid w:val="00426A04"/>
    <w:rsid w:val="00436C1B"/>
    <w:rsid w:val="00450FEC"/>
    <w:rsid w:val="004610D8"/>
    <w:rsid w:val="00473615"/>
    <w:rsid w:val="00473883"/>
    <w:rsid w:val="00473E6F"/>
    <w:rsid w:val="00475C54"/>
    <w:rsid w:val="004776C4"/>
    <w:rsid w:val="0048625B"/>
    <w:rsid w:val="00487CDF"/>
    <w:rsid w:val="004954AD"/>
    <w:rsid w:val="00497B37"/>
    <w:rsid w:val="004A2B2D"/>
    <w:rsid w:val="004B12B9"/>
    <w:rsid w:val="004B32B0"/>
    <w:rsid w:val="004B3DD1"/>
    <w:rsid w:val="004B757E"/>
    <w:rsid w:val="004C6AD0"/>
    <w:rsid w:val="004D5710"/>
    <w:rsid w:val="004E1467"/>
    <w:rsid w:val="004F2E1C"/>
    <w:rsid w:val="004F35A7"/>
    <w:rsid w:val="004F5F15"/>
    <w:rsid w:val="005012F4"/>
    <w:rsid w:val="0050203A"/>
    <w:rsid w:val="00503C62"/>
    <w:rsid w:val="00504F1D"/>
    <w:rsid w:val="00512AEC"/>
    <w:rsid w:val="00515CF1"/>
    <w:rsid w:val="00520CA8"/>
    <w:rsid w:val="005240B0"/>
    <w:rsid w:val="0052450B"/>
    <w:rsid w:val="005248CC"/>
    <w:rsid w:val="00525F76"/>
    <w:rsid w:val="0052668B"/>
    <w:rsid w:val="00531746"/>
    <w:rsid w:val="0053512B"/>
    <w:rsid w:val="0053560F"/>
    <w:rsid w:val="00535B5D"/>
    <w:rsid w:val="00536239"/>
    <w:rsid w:val="005519EC"/>
    <w:rsid w:val="005529B3"/>
    <w:rsid w:val="005546AA"/>
    <w:rsid w:val="0056386B"/>
    <w:rsid w:val="005710B3"/>
    <w:rsid w:val="00576A09"/>
    <w:rsid w:val="005834CF"/>
    <w:rsid w:val="005878A7"/>
    <w:rsid w:val="00590D54"/>
    <w:rsid w:val="00592440"/>
    <w:rsid w:val="005A2754"/>
    <w:rsid w:val="005B40FC"/>
    <w:rsid w:val="005D2334"/>
    <w:rsid w:val="005D2817"/>
    <w:rsid w:val="005E2014"/>
    <w:rsid w:val="006105BC"/>
    <w:rsid w:val="0062470C"/>
    <w:rsid w:val="0062787E"/>
    <w:rsid w:val="006357D6"/>
    <w:rsid w:val="006369DD"/>
    <w:rsid w:val="006429BF"/>
    <w:rsid w:val="00656251"/>
    <w:rsid w:val="006602CB"/>
    <w:rsid w:val="00671A6F"/>
    <w:rsid w:val="00682BD1"/>
    <w:rsid w:val="0069112E"/>
    <w:rsid w:val="006A3C1B"/>
    <w:rsid w:val="006B0E2C"/>
    <w:rsid w:val="006B1666"/>
    <w:rsid w:val="006B7543"/>
    <w:rsid w:val="006C0998"/>
    <w:rsid w:val="006C35E2"/>
    <w:rsid w:val="006E7F49"/>
    <w:rsid w:val="006F1B77"/>
    <w:rsid w:val="00705344"/>
    <w:rsid w:val="007059E0"/>
    <w:rsid w:val="007131A6"/>
    <w:rsid w:val="007137AB"/>
    <w:rsid w:val="0071558E"/>
    <w:rsid w:val="0071627E"/>
    <w:rsid w:val="0074160C"/>
    <w:rsid w:val="00745FEA"/>
    <w:rsid w:val="00754015"/>
    <w:rsid w:val="0075497E"/>
    <w:rsid w:val="007628A4"/>
    <w:rsid w:val="00765BB9"/>
    <w:rsid w:val="00772DC7"/>
    <w:rsid w:val="00775363"/>
    <w:rsid w:val="00776D92"/>
    <w:rsid w:val="0078500E"/>
    <w:rsid w:val="00790717"/>
    <w:rsid w:val="00791D5F"/>
    <w:rsid w:val="007B29FD"/>
    <w:rsid w:val="007B31E6"/>
    <w:rsid w:val="007C4E9D"/>
    <w:rsid w:val="007D27BB"/>
    <w:rsid w:val="007D2FC7"/>
    <w:rsid w:val="007E37C8"/>
    <w:rsid w:val="007E40ED"/>
    <w:rsid w:val="007E5F19"/>
    <w:rsid w:val="007E6A5C"/>
    <w:rsid w:val="007F3AB0"/>
    <w:rsid w:val="00800482"/>
    <w:rsid w:val="008026D0"/>
    <w:rsid w:val="008048C1"/>
    <w:rsid w:val="00805079"/>
    <w:rsid w:val="00807983"/>
    <w:rsid w:val="008103CB"/>
    <w:rsid w:val="00811A60"/>
    <w:rsid w:val="00816797"/>
    <w:rsid w:val="008269B4"/>
    <w:rsid w:val="008332EE"/>
    <w:rsid w:val="00835AC2"/>
    <w:rsid w:val="00842703"/>
    <w:rsid w:val="00846EF3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B7FA8"/>
    <w:rsid w:val="008C111C"/>
    <w:rsid w:val="008D2DF3"/>
    <w:rsid w:val="008D4615"/>
    <w:rsid w:val="008E251B"/>
    <w:rsid w:val="008E2568"/>
    <w:rsid w:val="008E51D6"/>
    <w:rsid w:val="008F514A"/>
    <w:rsid w:val="008F77C6"/>
    <w:rsid w:val="009004C8"/>
    <w:rsid w:val="009039AA"/>
    <w:rsid w:val="009071ED"/>
    <w:rsid w:val="00910336"/>
    <w:rsid w:val="00910A12"/>
    <w:rsid w:val="009138CA"/>
    <w:rsid w:val="009149E0"/>
    <w:rsid w:val="0092229F"/>
    <w:rsid w:val="009248EA"/>
    <w:rsid w:val="00924A44"/>
    <w:rsid w:val="00924DE7"/>
    <w:rsid w:val="009260C6"/>
    <w:rsid w:val="00927142"/>
    <w:rsid w:val="00934F8A"/>
    <w:rsid w:val="00940AEE"/>
    <w:rsid w:val="00944B0D"/>
    <w:rsid w:val="00946AB2"/>
    <w:rsid w:val="00953991"/>
    <w:rsid w:val="0097166A"/>
    <w:rsid w:val="00971D89"/>
    <w:rsid w:val="0099416A"/>
    <w:rsid w:val="009A0EC8"/>
    <w:rsid w:val="009A3816"/>
    <w:rsid w:val="009A527F"/>
    <w:rsid w:val="009A7904"/>
    <w:rsid w:val="009B783F"/>
    <w:rsid w:val="009C434C"/>
    <w:rsid w:val="009D02B6"/>
    <w:rsid w:val="009D5F26"/>
    <w:rsid w:val="009E2573"/>
    <w:rsid w:val="009F3E70"/>
    <w:rsid w:val="009F6532"/>
    <w:rsid w:val="00A055C7"/>
    <w:rsid w:val="00A05A6E"/>
    <w:rsid w:val="00A1262D"/>
    <w:rsid w:val="00A12F98"/>
    <w:rsid w:val="00A14E2F"/>
    <w:rsid w:val="00A170CF"/>
    <w:rsid w:val="00A22CDF"/>
    <w:rsid w:val="00A35420"/>
    <w:rsid w:val="00A45115"/>
    <w:rsid w:val="00A459AF"/>
    <w:rsid w:val="00A46120"/>
    <w:rsid w:val="00A506CE"/>
    <w:rsid w:val="00A51E69"/>
    <w:rsid w:val="00A51F48"/>
    <w:rsid w:val="00A53D29"/>
    <w:rsid w:val="00A5551E"/>
    <w:rsid w:val="00A56BC8"/>
    <w:rsid w:val="00A60ED5"/>
    <w:rsid w:val="00A63031"/>
    <w:rsid w:val="00A75BE5"/>
    <w:rsid w:val="00A80F21"/>
    <w:rsid w:val="00A83308"/>
    <w:rsid w:val="00A86FFF"/>
    <w:rsid w:val="00A939FD"/>
    <w:rsid w:val="00A94CE4"/>
    <w:rsid w:val="00A9587D"/>
    <w:rsid w:val="00A9700E"/>
    <w:rsid w:val="00AA0048"/>
    <w:rsid w:val="00AA5B99"/>
    <w:rsid w:val="00AC46E7"/>
    <w:rsid w:val="00AE78E4"/>
    <w:rsid w:val="00B22998"/>
    <w:rsid w:val="00B25E92"/>
    <w:rsid w:val="00B31303"/>
    <w:rsid w:val="00B51559"/>
    <w:rsid w:val="00B56D88"/>
    <w:rsid w:val="00B60081"/>
    <w:rsid w:val="00B61C53"/>
    <w:rsid w:val="00B722E6"/>
    <w:rsid w:val="00B91B2B"/>
    <w:rsid w:val="00B92DA7"/>
    <w:rsid w:val="00BA1A48"/>
    <w:rsid w:val="00BA1CC6"/>
    <w:rsid w:val="00BA2B45"/>
    <w:rsid w:val="00BA33BA"/>
    <w:rsid w:val="00BA6AD9"/>
    <w:rsid w:val="00BB5FB5"/>
    <w:rsid w:val="00BC3CCE"/>
    <w:rsid w:val="00BC4630"/>
    <w:rsid w:val="00BC49AA"/>
    <w:rsid w:val="00BC7E72"/>
    <w:rsid w:val="00BE057C"/>
    <w:rsid w:val="00BE073B"/>
    <w:rsid w:val="00BE71C4"/>
    <w:rsid w:val="00BF4983"/>
    <w:rsid w:val="00BF688A"/>
    <w:rsid w:val="00BF7650"/>
    <w:rsid w:val="00C0084C"/>
    <w:rsid w:val="00C122D5"/>
    <w:rsid w:val="00C12F40"/>
    <w:rsid w:val="00C21846"/>
    <w:rsid w:val="00C35668"/>
    <w:rsid w:val="00C40045"/>
    <w:rsid w:val="00C42FE0"/>
    <w:rsid w:val="00C443F4"/>
    <w:rsid w:val="00C44DDA"/>
    <w:rsid w:val="00C45A18"/>
    <w:rsid w:val="00C46D4F"/>
    <w:rsid w:val="00C63E4C"/>
    <w:rsid w:val="00C66C87"/>
    <w:rsid w:val="00C73448"/>
    <w:rsid w:val="00C74C0E"/>
    <w:rsid w:val="00C84747"/>
    <w:rsid w:val="00C867F7"/>
    <w:rsid w:val="00C96478"/>
    <w:rsid w:val="00CA5DC0"/>
    <w:rsid w:val="00CB1AAA"/>
    <w:rsid w:val="00CC27C4"/>
    <w:rsid w:val="00CC4B5C"/>
    <w:rsid w:val="00CD2992"/>
    <w:rsid w:val="00CE1432"/>
    <w:rsid w:val="00CE5E8B"/>
    <w:rsid w:val="00CF1072"/>
    <w:rsid w:val="00CF1EA3"/>
    <w:rsid w:val="00CF77BF"/>
    <w:rsid w:val="00D013A4"/>
    <w:rsid w:val="00D040AD"/>
    <w:rsid w:val="00D137BA"/>
    <w:rsid w:val="00D17B51"/>
    <w:rsid w:val="00D17C43"/>
    <w:rsid w:val="00D21EE9"/>
    <w:rsid w:val="00D2730D"/>
    <w:rsid w:val="00D279A5"/>
    <w:rsid w:val="00D34006"/>
    <w:rsid w:val="00D3593D"/>
    <w:rsid w:val="00D36A1A"/>
    <w:rsid w:val="00D4442A"/>
    <w:rsid w:val="00D44F76"/>
    <w:rsid w:val="00D46BFB"/>
    <w:rsid w:val="00D4707E"/>
    <w:rsid w:val="00D51998"/>
    <w:rsid w:val="00D5225F"/>
    <w:rsid w:val="00D54ABB"/>
    <w:rsid w:val="00D7496D"/>
    <w:rsid w:val="00D773AD"/>
    <w:rsid w:val="00D821DF"/>
    <w:rsid w:val="00D82923"/>
    <w:rsid w:val="00D86258"/>
    <w:rsid w:val="00D86D4D"/>
    <w:rsid w:val="00D8773B"/>
    <w:rsid w:val="00D90DAF"/>
    <w:rsid w:val="00D93C73"/>
    <w:rsid w:val="00D949B6"/>
    <w:rsid w:val="00DA4B8F"/>
    <w:rsid w:val="00DA66F4"/>
    <w:rsid w:val="00DC162F"/>
    <w:rsid w:val="00DC25C2"/>
    <w:rsid w:val="00DC4FE8"/>
    <w:rsid w:val="00DC6508"/>
    <w:rsid w:val="00DD3D1C"/>
    <w:rsid w:val="00DE1DCF"/>
    <w:rsid w:val="00DE27C9"/>
    <w:rsid w:val="00DF5878"/>
    <w:rsid w:val="00E00D06"/>
    <w:rsid w:val="00E10279"/>
    <w:rsid w:val="00E13E09"/>
    <w:rsid w:val="00E172A6"/>
    <w:rsid w:val="00E32FDC"/>
    <w:rsid w:val="00E35B4F"/>
    <w:rsid w:val="00E3626C"/>
    <w:rsid w:val="00E3707F"/>
    <w:rsid w:val="00E44092"/>
    <w:rsid w:val="00E45914"/>
    <w:rsid w:val="00E512CE"/>
    <w:rsid w:val="00E55CD3"/>
    <w:rsid w:val="00E67C91"/>
    <w:rsid w:val="00E7139B"/>
    <w:rsid w:val="00E767EC"/>
    <w:rsid w:val="00E87805"/>
    <w:rsid w:val="00E95C33"/>
    <w:rsid w:val="00EA7185"/>
    <w:rsid w:val="00EB04DB"/>
    <w:rsid w:val="00EB1D0B"/>
    <w:rsid w:val="00EC49F0"/>
    <w:rsid w:val="00EC5ECD"/>
    <w:rsid w:val="00ED4FE7"/>
    <w:rsid w:val="00F04C31"/>
    <w:rsid w:val="00F05EA4"/>
    <w:rsid w:val="00F07E69"/>
    <w:rsid w:val="00F1572B"/>
    <w:rsid w:val="00F206EA"/>
    <w:rsid w:val="00F3742E"/>
    <w:rsid w:val="00F40491"/>
    <w:rsid w:val="00F5635D"/>
    <w:rsid w:val="00F60B9A"/>
    <w:rsid w:val="00F63FEA"/>
    <w:rsid w:val="00F6765B"/>
    <w:rsid w:val="00F72981"/>
    <w:rsid w:val="00F75CA4"/>
    <w:rsid w:val="00F80A26"/>
    <w:rsid w:val="00FA306B"/>
    <w:rsid w:val="00FA39EE"/>
    <w:rsid w:val="00FB3497"/>
    <w:rsid w:val="00FB59B4"/>
    <w:rsid w:val="00FC199F"/>
    <w:rsid w:val="00FC52C0"/>
    <w:rsid w:val="00FC6EB1"/>
    <w:rsid w:val="00FD0042"/>
    <w:rsid w:val="00FD41AC"/>
    <w:rsid w:val="00FD5A97"/>
    <w:rsid w:val="00FD6A29"/>
    <w:rsid w:val="00FD7CBB"/>
    <w:rsid w:val="00FE6C62"/>
    <w:rsid w:val="00FF0798"/>
    <w:rsid w:val="02093B97"/>
    <w:rsid w:val="04064243"/>
    <w:rsid w:val="049B4439"/>
    <w:rsid w:val="05956F63"/>
    <w:rsid w:val="06913B95"/>
    <w:rsid w:val="07C3B9AC"/>
    <w:rsid w:val="0A3D066F"/>
    <w:rsid w:val="0BF4D569"/>
    <w:rsid w:val="0D9F1E4A"/>
    <w:rsid w:val="0E1577F4"/>
    <w:rsid w:val="0EB63F25"/>
    <w:rsid w:val="0F90106D"/>
    <w:rsid w:val="10381DDB"/>
    <w:rsid w:val="11D3EE3C"/>
    <w:rsid w:val="11FE8DDE"/>
    <w:rsid w:val="15540FD6"/>
    <w:rsid w:val="15BB30EC"/>
    <w:rsid w:val="16A75F5F"/>
    <w:rsid w:val="1746AA51"/>
    <w:rsid w:val="174AD543"/>
    <w:rsid w:val="17A87C12"/>
    <w:rsid w:val="18B1B110"/>
    <w:rsid w:val="1B67E6AD"/>
    <w:rsid w:val="1BAD5DAA"/>
    <w:rsid w:val="1C38EF7F"/>
    <w:rsid w:val="1EC0E7D7"/>
    <w:rsid w:val="2068BF36"/>
    <w:rsid w:val="20C60C71"/>
    <w:rsid w:val="22CA4244"/>
    <w:rsid w:val="2308950B"/>
    <w:rsid w:val="238CC72D"/>
    <w:rsid w:val="242D3823"/>
    <w:rsid w:val="24D4A715"/>
    <w:rsid w:val="26AFAD6D"/>
    <w:rsid w:val="26BDE687"/>
    <w:rsid w:val="2B43E899"/>
    <w:rsid w:val="2BA12EEA"/>
    <w:rsid w:val="2BEE2116"/>
    <w:rsid w:val="2F6136EE"/>
    <w:rsid w:val="2FCC796E"/>
    <w:rsid w:val="307DCA3A"/>
    <w:rsid w:val="311BD33E"/>
    <w:rsid w:val="317AB908"/>
    <w:rsid w:val="3232C2F8"/>
    <w:rsid w:val="355928E3"/>
    <w:rsid w:val="35BB2A07"/>
    <w:rsid w:val="386752F6"/>
    <w:rsid w:val="39226DBF"/>
    <w:rsid w:val="3AA78F8B"/>
    <w:rsid w:val="3B1D8893"/>
    <w:rsid w:val="3B24914F"/>
    <w:rsid w:val="3C6399FE"/>
    <w:rsid w:val="3CFDCA4A"/>
    <w:rsid w:val="3E0C4836"/>
    <w:rsid w:val="3E999AAB"/>
    <w:rsid w:val="3EE6E2CC"/>
    <w:rsid w:val="4093EE04"/>
    <w:rsid w:val="410EC571"/>
    <w:rsid w:val="4399BC1A"/>
    <w:rsid w:val="43BA53EF"/>
    <w:rsid w:val="45F65F07"/>
    <w:rsid w:val="475CDF7A"/>
    <w:rsid w:val="4A299573"/>
    <w:rsid w:val="4BEB5BCA"/>
    <w:rsid w:val="4C5CF56B"/>
    <w:rsid w:val="4C96E7F9"/>
    <w:rsid w:val="4E606480"/>
    <w:rsid w:val="4E8EF8E6"/>
    <w:rsid w:val="4F8215FA"/>
    <w:rsid w:val="50B1FF54"/>
    <w:rsid w:val="53A6357A"/>
    <w:rsid w:val="53F9BCCA"/>
    <w:rsid w:val="545DCA2E"/>
    <w:rsid w:val="556C481A"/>
    <w:rsid w:val="57100601"/>
    <w:rsid w:val="5808B85A"/>
    <w:rsid w:val="5A3FB93D"/>
    <w:rsid w:val="5AB3E355"/>
    <w:rsid w:val="5ACD0BB2"/>
    <w:rsid w:val="5C4C0B31"/>
    <w:rsid w:val="5CA2F895"/>
    <w:rsid w:val="5CCF4C91"/>
    <w:rsid w:val="5F132A60"/>
    <w:rsid w:val="5F2C52BD"/>
    <w:rsid w:val="5F89CC86"/>
    <w:rsid w:val="6118E278"/>
    <w:rsid w:val="61DDB593"/>
    <w:rsid w:val="665D067A"/>
    <w:rsid w:val="67A44E4C"/>
    <w:rsid w:val="6813E8FE"/>
    <w:rsid w:val="6C433DFE"/>
    <w:rsid w:val="6C9489CA"/>
    <w:rsid w:val="6D79731E"/>
    <w:rsid w:val="7022E7A3"/>
    <w:rsid w:val="70451487"/>
    <w:rsid w:val="73D8D924"/>
    <w:rsid w:val="745D0B46"/>
    <w:rsid w:val="749DD6B8"/>
    <w:rsid w:val="74F8AE48"/>
    <w:rsid w:val="7661EF6D"/>
    <w:rsid w:val="767B17CA"/>
    <w:rsid w:val="79331FB1"/>
    <w:rsid w:val="79B2B88C"/>
    <w:rsid w:val="7A73EE57"/>
    <w:rsid w:val="7B071AE2"/>
    <w:rsid w:val="7C0FBEB8"/>
    <w:rsid w:val="7CEE9C69"/>
    <w:rsid w:val="7F2ED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D2F2B59E-17FE-4AF6-9501-C827080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6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6D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D48E3"/>
    <w:pPr>
      <w:spacing w:after="0" w:line="240" w:lineRule="auto"/>
    </w:pPr>
    <w:rPr>
      <w:rFonts w:ascii="Calibri" w:hAnsi="Calibri" w:cs="Calibri"/>
      <w:lang w:eastAsia="de-DE"/>
    </w:rPr>
  </w:style>
  <w:style w:type="paragraph" w:customStyle="1" w:styleId="elementtoproof">
    <w:name w:val="elementtoproof"/>
    <w:basedOn w:val="Standard"/>
    <w:uiPriority w:val="99"/>
    <w:semiHidden/>
    <w:rsid w:val="000D48E3"/>
    <w:pPr>
      <w:spacing w:after="0" w:line="240" w:lineRule="auto"/>
    </w:pPr>
    <w:rPr>
      <w:rFonts w:ascii="Calibri" w:hAnsi="Calibri" w:cs="Calibri"/>
      <w:lang w:eastAsia="de-DE"/>
    </w:rPr>
  </w:style>
  <w:style w:type="paragraph" w:styleId="berarbeitung">
    <w:name w:val="Revision"/>
    <w:hidden/>
    <w:uiPriority w:val="99"/>
    <w:semiHidden/>
    <w:rsid w:val="008048C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channel/UCDQ-CKkS8XMHcJ9Ze-6UVN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5/Andreas_Haller_Quantron_AG-scaled.jpg" TargetMode="External"/><Relationship Id="rId17" Type="http://schemas.openxmlformats.org/officeDocument/2006/relationships/hyperlink" Target="https://www.linkedin.com/company/quantron-a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q-news/pr-berichte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quantron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2/Dr_Ulrich_Mach_blueFLUX_Energy_High-scaled.jpe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4.xml><?xml version="1.0" encoding="utf-8"?>
<ds:datastoreItem xmlns:ds="http://schemas.openxmlformats.org/officeDocument/2006/customXml" ds:itemID="{2ED271BB-7D93-45FF-B38C-043DD999D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Kieser | Quantron AG</dc:creator>
  <cp:keywords/>
  <cp:lastModifiedBy>Stephanie Miller | Quantron AG</cp:lastModifiedBy>
  <cp:revision>18</cp:revision>
  <cp:lastPrinted>2024-02-06T15:21:00Z</cp:lastPrinted>
  <dcterms:created xsi:type="dcterms:W3CDTF">2024-02-02T09:30:00Z</dcterms:created>
  <dcterms:modified xsi:type="dcterms:W3CDTF">2024-02-06T15:21:00Z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